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2C212D" w14:textId="77777777" w:rsidR="006B4648" w:rsidRPr="006B74BF" w:rsidRDefault="006B4648" w:rsidP="006B4648">
      <w:pPr>
        <w:pStyle w:val="Guide-Bulletsspace"/>
        <w:numPr>
          <w:ilvl w:val="0"/>
          <w:numId w:val="0"/>
        </w:numPr>
        <w:ind w:left="720" w:hanging="360"/>
        <w:rPr>
          <w:sz w:val="24"/>
          <w:szCs w:val="24"/>
        </w:rPr>
      </w:pPr>
      <w:bookmarkStart w:id="0" w:name="_GoBack"/>
      <w:bookmarkEnd w:id="0"/>
    </w:p>
    <w:p w14:paraId="61018945" w14:textId="77777777" w:rsidR="006B4648" w:rsidRPr="0088695A" w:rsidRDefault="006B4648" w:rsidP="006B4648">
      <w:pPr>
        <w:pStyle w:val="Guide-Heading4TOC"/>
      </w:pPr>
      <w:bookmarkStart w:id="1" w:name="_Toc520804815"/>
      <w:bookmarkStart w:id="2" w:name="_Toc526839572"/>
      <w:r w:rsidRPr="0088695A">
        <w:t>European Universities</w:t>
      </w:r>
      <w:bookmarkEnd w:id="1"/>
      <w:bookmarkEnd w:id="2"/>
    </w:p>
    <w:p w14:paraId="12FC18AD" w14:textId="77777777" w:rsidR="006B4648" w:rsidRPr="00737FA6" w:rsidRDefault="006B4648" w:rsidP="006B4648">
      <w:pPr>
        <w:jc w:val="both"/>
        <w:rPr>
          <w:rFonts w:ascii="Calibri" w:hAnsi="Calibri"/>
          <w:sz w:val="18"/>
          <w:szCs w:val="18"/>
        </w:rPr>
      </w:pPr>
      <w:r>
        <w:rPr>
          <w:rFonts w:ascii="Calibri" w:hAnsi="Calibri"/>
          <w:sz w:val="18"/>
          <w:szCs w:val="18"/>
        </w:rPr>
        <w:t xml:space="preserve">Heads of states and governments called in the </w:t>
      </w:r>
      <w:r w:rsidRPr="00737FA6">
        <w:rPr>
          <w:rFonts w:ascii="Calibri" w:hAnsi="Calibri"/>
          <w:sz w:val="18"/>
          <w:szCs w:val="18"/>
        </w:rPr>
        <w:t>European Council Conclusions of 14 December 2017</w:t>
      </w:r>
      <w:r>
        <w:rPr>
          <w:rStyle w:val="DipnotBavurusu"/>
          <w:rFonts w:ascii="Calibri" w:hAnsi="Calibri"/>
          <w:sz w:val="18"/>
          <w:szCs w:val="18"/>
        </w:rPr>
        <w:footnoteReference w:id="1"/>
      </w:r>
      <w:r>
        <w:rPr>
          <w:rFonts w:ascii="Calibri" w:hAnsi="Calibri"/>
          <w:sz w:val="18"/>
          <w:szCs w:val="18"/>
        </w:rPr>
        <w:t xml:space="preserve"> </w:t>
      </w:r>
      <w:r w:rsidRPr="00737FA6">
        <w:rPr>
          <w:rFonts w:ascii="Calibri" w:hAnsi="Calibri"/>
          <w:sz w:val="18"/>
          <w:szCs w:val="18"/>
        </w:rPr>
        <w:t>on the Member States, the Council and the European Commission</w:t>
      </w:r>
      <w:r>
        <w:rPr>
          <w:rFonts w:ascii="Calibri" w:hAnsi="Calibri"/>
          <w:sz w:val="18"/>
          <w:szCs w:val="18"/>
        </w:rPr>
        <w:t xml:space="preserve"> to take work forward in ‘</w:t>
      </w:r>
      <w:r w:rsidRPr="00737FA6">
        <w:rPr>
          <w:rFonts w:ascii="Calibri" w:hAnsi="Calibri"/>
          <w:sz w:val="18"/>
          <w:szCs w:val="18"/>
        </w:rPr>
        <w:t>encouraging the emergence by 2024 of some twenty 'European Universities', consisting in bottom-up networks of universities across the EU which will enable students to obtain a degree by combining studies in several EU countries and contribute to the international competitiveness of European universities'.</w:t>
      </w:r>
    </w:p>
    <w:p w14:paraId="6C4B5AF2" w14:textId="77777777" w:rsidR="006B4648" w:rsidRPr="00737FA6" w:rsidRDefault="006B4648" w:rsidP="006B4648">
      <w:pPr>
        <w:jc w:val="both"/>
        <w:rPr>
          <w:rFonts w:ascii="Calibri" w:hAnsi="Calibri"/>
          <w:sz w:val="18"/>
          <w:szCs w:val="18"/>
        </w:rPr>
      </w:pPr>
    </w:p>
    <w:p w14:paraId="21ECD54D" w14:textId="77777777" w:rsidR="006B4648" w:rsidRPr="00737FA6" w:rsidRDefault="006B4648" w:rsidP="006B4648">
      <w:pPr>
        <w:jc w:val="both"/>
        <w:rPr>
          <w:rFonts w:ascii="Calibri" w:hAnsi="Calibri"/>
          <w:sz w:val="18"/>
          <w:szCs w:val="18"/>
        </w:rPr>
      </w:pPr>
      <w:r w:rsidRPr="00737FA6">
        <w:rPr>
          <w:rFonts w:ascii="Calibri" w:hAnsi="Calibri"/>
          <w:sz w:val="18"/>
          <w:szCs w:val="18"/>
        </w:rPr>
        <w:t>The Education Council Conclusions of 22 May 2018</w:t>
      </w:r>
      <w:r>
        <w:rPr>
          <w:rStyle w:val="DipnotBavurusu"/>
          <w:rFonts w:ascii="Calibri" w:hAnsi="Calibri"/>
          <w:sz w:val="18"/>
          <w:szCs w:val="18"/>
        </w:rPr>
        <w:footnoteReference w:id="2"/>
      </w:r>
      <w:r w:rsidRPr="00737FA6">
        <w:rPr>
          <w:rFonts w:ascii="Calibri" w:hAnsi="Calibri"/>
          <w:sz w:val="18"/>
          <w:szCs w:val="18"/>
        </w:rPr>
        <w:t xml:space="preserve"> further stressed the potential of ‘European Universities’ to “significantly enhance mobility and foster high quality and excellence in education and research, by strengthening the link between teaching, research and innovation and knowledge transfer, by demonstrating the benefits of multilingual learning, the recognition of qualifications and by developing joint education and research programmes and projects." </w:t>
      </w:r>
      <w:r>
        <w:rPr>
          <w:rFonts w:ascii="Calibri" w:hAnsi="Calibri"/>
          <w:sz w:val="18"/>
          <w:szCs w:val="18"/>
        </w:rPr>
        <w:t>They also highlighted that the European Universities "could play a flagship role in the creation of a European Education Area as a whole".</w:t>
      </w:r>
    </w:p>
    <w:p w14:paraId="15BFA74B" w14:textId="77777777" w:rsidR="006B4648" w:rsidRPr="00737FA6" w:rsidRDefault="006B4648" w:rsidP="006B4648">
      <w:pPr>
        <w:jc w:val="both"/>
        <w:rPr>
          <w:rFonts w:ascii="Calibri" w:hAnsi="Calibri"/>
          <w:sz w:val="18"/>
          <w:szCs w:val="18"/>
        </w:rPr>
      </w:pPr>
    </w:p>
    <w:p w14:paraId="7481A430" w14:textId="77777777" w:rsidR="006B4648" w:rsidRPr="00737FA6" w:rsidRDefault="006B4648" w:rsidP="006B4648">
      <w:pPr>
        <w:jc w:val="both"/>
        <w:rPr>
          <w:rFonts w:ascii="Calibri" w:hAnsi="Calibri"/>
          <w:sz w:val="18"/>
          <w:szCs w:val="18"/>
        </w:rPr>
      </w:pPr>
      <w:r w:rsidRPr="00737FA6">
        <w:rPr>
          <w:rFonts w:ascii="Calibri" w:hAnsi="Calibri"/>
          <w:sz w:val="18"/>
          <w:szCs w:val="18"/>
        </w:rPr>
        <w:t xml:space="preserve">To achieve this objective, the European Commission proposes an unparalleled initiative which requires a quantum leap in cooperation between all types of higher education institutions from all regions in Europe and at all levels of the organisation, across all areas of activity, from teaching and learning to research and innovation. </w:t>
      </w:r>
    </w:p>
    <w:p w14:paraId="2C84AB44" w14:textId="77777777" w:rsidR="006B4648" w:rsidRPr="00D17439" w:rsidRDefault="006B4648" w:rsidP="006B4648">
      <w:pPr>
        <w:jc w:val="both"/>
        <w:rPr>
          <w:rFonts w:ascii="Calibri" w:hAnsi="Calibri"/>
          <w:sz w:val="18"/>
          <w:szCs w:val="18"/>
        </w:rPr>
      </w:pPr>
    </w:p>
    <w:p w14:paraId="78AB23D8" w14:textId="77777777" w:rsidR="006B4648" w:rsidRDefault="006B4648" w:rsidP="006B4648">
      <w:pPr>
        <w:pStyle w:val="Guide-Heading5"/>
      </w:pPr>
      <w:r w:rsidRPr="0019773D">
        <w:t xml:space="preserve">What are the aims and priorities of </w:t>
      </w:r>
      <w:r w:rsidRPr="0047163C">
        <w:t>EUROPEAN UNIVERSITIES</w:t>
      </w:r>
      <w:r w:rsidRPr="0019773D">
        <w:t>?</w:t>
      </w:r>
    </w:p>
    <w:p w14:paraId="588B14FF" w14:textId="77777777" w:rsidR="006B4648" w:rsidRDefault="006B4648" w:rsidP="006B4648">
      <w:pPr>
        <w:jc w:val="both"/>
        <w:rPr>
          <w:rFonts w:ascii="Calibri" w:hAnsi="Calibri"/>
          <w:sz w:val="18"/>
          <w:szCs w:val="18"/>
        </w:rPr>
      </w:pPr>
      <w:r w:rsidRPr="00E312DD">
        <w:rPr>
          <w:rFonts w:ascii="Calibri" w:hAnsi="Calibri"/>
          <w:sz w:val="18"/>
          <w:szCs w:val="18"/>
        </w:rPr>
        <w:t xml:space="preserve">‘European Universities’ </w:t>
      </w:r>
      <w:r>
        <w:rPr>
          <w:rFonts w:ascii="Calibri" w:hAnsi="Calibri"/>
          <w:sz w:val="18"/>
          <w:szCs w:val="18"/>
        </w:rPr>
        <w:t xml:space="preserve">have an </w:t>
      </w:r>
      <w:r w:rsidRPr="00E312DD">
        <w:rPr>
          <w:rFonts w:ascii="Calibri" w:hAnsi="Calibri"/>
          <w:sz w:val="18"/>
          <w:szCs w:val="18"/>
        </w:rPr>
        <w:t>ambitious mandate</w:t>
      </w:r>
      <w:r>
        <w:rPr>
          <w:rFonts w:ascii="Calibri" w:hAnsi="Calibri"/>
          <w:sz w:val="18"/>
          <w:szCs w:val="18"/>
        </w:rPr>
        <w:t xml:space="preserve"> aimed at</w:t>
      </w:r>
      <w:r w:rsidRPr="00E312DD">
        <w:rPr>
          <w:rFonts w:ascii="Calibri" w:hAnsi="Calibri"/>
          <w:sz w:val="18"/>
          <w:szCs w:val="18"/>
        </w:rPr>
        <w:t xml:space="preserve"> achieving the following t</w:t>
      </w:r>
      <w:r>
        <w:rPr>
          <w:rFonts w:ascii="Calibri" w:hAnsi="Calibri"/>
          <w:sz w:val="18"/>
          <w:szCs w:val="18"/>
        </w:rPr>
        <w:t>wo</w:t>
      </w:r>
      <w:r w:rsidRPr="00E312DD">
        <w:rPr>
          <w:rFonts w:ascii="Calibri" w:hAnsi="Calibri"/>
          <w:sz w:val="18"/>
          <w:szCs w:val="18"/>
        </w:rPr>
        <w:t xml:space="preserve"> objectives:</w:t>
      </w:r>
    </w:p>
    <w:p w14:paraId="6AB15A78" w14:textId="77777777" w:rsidR="006B4648" w:rsidRDefault="006B4648" w:rsidP="006B4648">
      <w:pPr>
        <w:jc w:val="both"/>
        <w:rPr>
          <w:rFonts w:ascii="Calibri" w:hAnsi="Calibri"/>
          <w:sz w:val="18"/>
          <w:szCs w:val="18"/>
        </w:rPr>
      </w:pPr>
    </w:p>
    <w:p w14:paraId="30E893A6" w14:textId="77777777" w:rsidR="006B4648" w:rsidRDefault="006B4648" w:rsidP="006B4648">
      <w:pPr>
        <w:pStyle w:val="ListeParagraf"/>
        <w:widowControl/>
        <w:numPr>
          <w:ilvl w:val="0"/>
          <w:numId w:val="12"/>
        </w:numPr>
        <w:tabs>
          <w:tab w:val="left" w:pos="567"/>
        </w:tabs>
        <w:suppressAutoHyphens w:val="0"/>
        <w:autoSpaceDN/>
        <w:spacing w:after="200" w:line="276" w:lineRule="auto"/>
        <w:ind w:left="567"/>
        <w:jc w:val="both"/>
        <w:rPr>
          <w:rFonts w:ascii="Calibri" w:hAnsi="Calibri" w:cstheme="minorBidi"/>
          <w:sz w:val="18"/>
          <w:szCs w:val="18"/>
          <w:lang w:eastAsia="en-US"/>
        </w:rPr>
      </w:pPr>
      <w:r w:rsidRPr="00C5526F">
        <w:rPr>
          <w:rFonts w:ascii="Calibri" w:hAnsi="Calibri" w:cstheme="minorBidi"/>
          <w:sz w:val="18"/>
          <w:szCs w:val="18"/>
          <w:lang w:eastAsia="en-US"/>
        </w:rPr>
        <w:t xml:space="preserve">Promoting </w:t>
      </w:r>
      <w:r w:rsidRPr="00C5526F">
        <w:rPr>
          <w:rFonts w:ascii="Calibri" w:hAnsi="Calibri" w:cstheme="minorBidi"/>
          <w:b/>
          <w:sz w:val="18"/>
          <w:szCs w:val="18"/>
          <w:lang w:eastAsia="en-US"/>
        </w:rPr>
        <w:t>common European values</w:t>
      </w:r>
      <w:r w:rsidRPr="00C5526F">
        <w:rPr>
          <w:rFonts w:ascii="Calibri" w:hAnsi="Calibri" w:cstheme="minorBidi"/>
          <w:sz w:val="18"/>
          <w:szCs w:val="18"/>
          <w:lang w:eastAsia="en-US"/>
        </w:rPr>
        <w:t xml:space="preserve"> </w:t>
      </w:r>
      <w:r>
        <w:rPr>
          <w:rFonts w:ascii="Calibri" w:hAnsi="Calibri" w:cstheme="minorBidi"/>
          <w:sz w:val="18"/>
          <w:szCs w:val="18"/>
          <w:lang w:eastAsia="en-US"/>
        </w:rPr>
        <w:t xml:space="preserve">as enshrined in article 2 of the Treaty on European Union </w:t>
      </w:r>
      <w:r w:rsidRPr="00C5526F">
        <w:rPr>
          <w:rFonts w:ascii="Calibri" w:hAnsi="Calibri" w:cstheme="minorBidi"/>
          <w:sz w:val="18"/>
          <w:szCs w:val="18"/>
          <w:lang w:eastAsia="en-US"/>
        </w:rPr>
        <w:t xml:space="preserve">and a </w:t>
      </w:r>
      <w:r w:rsidRPr="00C5526F">
        <w:rPr>
          <w:rFonts w:ascii="Calibri" w:hAnsi="Calibri" w:cstheme="minorBidi"/>
          <w:b/>
          <w:sz w:val="18"/>
          <w:szCs w:val="18"/>
          <w:lang w:eastAsia="en-US"/>
        </w:rPr>
        <w:t>strengthened European identity</w:t>
      </w:r>
      <w:r w:rsidRPr="00C5526F">
        <w:rPr>
          <w:rFonts w:ascii="Calibri" w:hAnsi="Calibri" w:cstheme="minorBidi"/>
          <w:sz w:val="18"/>
          <w:szCs w:val="18"/>
          <w:lang w:eastAsia="en-US"/>
        </w:rPr>
        <w:t xml:space="preserve"> by bringing together a new generation of Europeans, who are able to cooperate and work within different European and global cultures, in different languages, and across borders, sectors and academic disciplines. </w:t>
      </w:r>
    </w:p>
    <w:p w14:paraId="657509EA" w14:textId="77777777" w:rsidR="006B4648" w:rsidRDefault="006B4648" w:rsidP="006B4648">
      <w:pPr>
        <w:pStyle w:val="ListeParagraf"/>
        <w:widowControl/>
        <w:numPr>
          <w:ilvl w:val="0"/>
          <w:numId w:val="12"/>
        </w:numPr>
        <w:tabs>
          <w:tab w:val="left" w:pos="567"/>
        </w:tabs>
        <w:suppressAutoHyphens w:val="0"/>
        <w:autoSpaceDN/>
        <w:spacing w:after="200" w:line="276" w:lineRule="auto"/>
        <w:ind w:left="567"/>
        <w:jc w:val="both"/>
        <w:rPr>
          <w:rFonts w:ascii="Calibri" w:hAnsi="Calibri" w:cstheme="minorBidi"/>
          <w:sz w:val="18"/>
          <w:szCs w:val="18"/>
          <w:lang w:eastAsia="en-US"/>
        </w:rPr>
      </w:pPr>
      <w:r>
        <w:rPr>
          <w:rFonts w:ascii="Calibri" w:hAnsi="Calibri" w:cstheme="minorBidi"/>
          <w:sz w:val="18"/>
          <w:szCs w:val="18"/>
          <w:lang w:eastAsia="en-US"/>
        </w:rPr>
        <w:t>Reach a substantial leap in</w:t>
      </w:r>
      <w:r w:rsidRPr="00C5526F">
        <w:rPr>
          <w:rFonts w:ascii="Calibri" w:hAnsi="Calibri" w:cstheme="minorBidi"/>
          <w:b/>
          <w:sz w:val="18"/>
          <w:szCs w:val="18"/>
          <w:lang w:eastAsia="en-US"/>
        </w:rPr>
        <w:t xml:space="preserve"> quality, performance, attractiveness and </w:t>
      </w:r>
      <w:r>
        <w:rPr>
          <w:rFonts w:ascii="Calibri" w:hAnsi="Calibri" w:cstheme="minorBidi"/>
          <w:b/>
          <w:sz w:val="18"/>
          <w:szCs w:val="18"/>
          <w:lang w:eastAsia="en-US"/>
        </w:rPr>
        <w:t xml:space="preserve">international </w:t>
      </w:r>
      <w:r w:rsidRPr="00C5526F">
        <w:rPr>
          <w:rFonts w:ascii="Calibri" w:hAnsi="Calibri" w:cstheme="minorBidi"/>
          <w:b/>
          <w:sz w:val="18"/>
          <w:szCs w:val="18"/>
          <w:lang w:eastAsia="en-US"/>
        </w:rPr>
        <w:t>competitiveness of European higher education institutions</w:t>
      </w:r>
      <w:r w:rsidRPr="00C5526F">
        <w:rPr>
          <w:rFonts w:ascii="Calibri" w:hAnsi="Calibri" w:cstheme="minorBidi"/>
          <w:sz w:val="18"/>
          <w:szCs w:val="18"/>
          <w:lang w:eastAsia="en-US"/>
        </w:rPr>
        <w:t xml:space="preserve"> and contribut</w:t>
      </w:r>
      <w:r>
        <w:rPr>
          <w:rFonts w:ascii="Calibri" w:hAnsi="Calibri" w:cstheme="minorBidi"/>
          <w:sz w:val="18"/>
          <w:szCs w:val="18"/>
          <w:lang w:eastAsia="en-US"/>
        </w:rPr>
        <w:t>ing</w:t>
      </w:r>
      <w:r w:rsidRPr="00C5526F">
        <w:rPr>
          <w:rFonts w:ascii="Calibri" w:hAnsi="Calibri" w:cstheme="minorBidi"/>
          <w:sz w:val="18"/>
          <w:szCs w:val="18"/>
          <w:lang w:eastAsia="en-US"/>
        </w:rPr>
        <w:t xml:space="preserve"> to the European knowledge economy, employment, culture and welfare by making best use of innovative pedagogies and striving to make </w:t>
      </w:r>
      <w:r>
        <w:rPr>
          <w:rFonts w:ascii="Calibri" w:hAnsi="Calibri" w:cstheme="minorBidi"/>
          <w:sz w:val="18"/>
          <w:szCs w:val="18"/>
          <w:lang w:eastAsia="en-US"/>
        </w:rPr>
        <w:t>the knowledge triangle</w:t>
      </w:r>
      <w:r>
        <w:rPr>
          <w:rStyle w:val="DipnotBavurusu"/>
          <w:rFonts w:ascii="Calibri" w:hAnsi="Calibri" w:cstheme="minorBidi"/>
          <w:sz w:val="18"/>
          <w:szCs w:val="18"/>
          <w:lang w:eastAsia="en-US"/>
        </w:rPr>
        <w:footnoteReference w:id="3"/>
      </w:r>
      <w:r w:rsidRPr="00C5526F">
        <w:rPr>
          <w:rFonts w:ascii="Calibri" w:hAnsi="Calibri" w:cstheme="minorBidi"/>
          <w:sz w:val="18"/>
          <w:szCs w:val="18"/>
          <w:lang w:eastAsia="en-US"/>
        </w:rPr>
        <w:t xml:space="preserve"> a reality. ‘European Universities’ will be key drivers to boost the quality of higher education and where possibl</w:t>
      </w:r>
      <w:r>
        <w:rPr>
          <w:rFonts w:ascii="Calibri" w:hAnsi="Calibri" w:cstheme="minorBidi"/>
          <w:sz w:val="18"/>
          <w:szCs w:val="18"/>
          <w:lang w:eastAsia="en-US"/>
        </w:rPr>
        <w:t>e to strengthen its link to the re</w:t>
      </w:r>
      <w:r w:rsidRPr="00C5526F">
        <w:rPr>
          <w:rFonts w:ascii="Calibri" w:hAnsi="Calibri" w:cstheme="minorBidi"/>
          <w:sz w:val="18"/>
          <w:szCs w:val="18"/>
          <w:lang w:eastAsia="en-US"/>
        </w:rPr>
        <w:t>search and innovation landscape in Europe and its outreach towards the society and economy.</w:t>
      </w:r>
    </w:p>
    <w:p w14:paraId="560A4234" w14:textId="77777777" w:rsidR="006B4648" w:rsidRPr="00535260" w:rsidRDefault="006B4648" w:rsidP="006B4648">
      <w:pPr>
        <w:pStyle w:val="ListeParagraf"/>
        <w:widowControl/>
        <w:tabs>
          <w:tab w:val="left" w:pos="567"/>
          <w:tab w:val="left" w:pos="3195"/>
        </w:tabs>
        <w:suppressAutoHyphens w:val="0"/>
        <w:autoSpaceDN/>
        <w:spacing w:after="200" w:line="276" w:lineRule="auto"/>
        <w:ind w:left="567"/>
        <w:jc w:val="both"/>
        <w:rPr>
          <w:rFonts w:ascii="Calibri" w:hAnsi="Calibri" w:cstheme="minorBidi"/>
          <w:sz w:val="18"/>
          <w:szCs w:val="18"/>
          <w:lang w:eastAsia="en-US"/>
        </w:rPr>
      </w:pPr>
      <w:r>
        <w:rPr>
          <w:rFonts w:ascii="Calibri" w:hAnsi="Calibri" w:cstheme="minorBidi"/>
          <w:sz w:val="18"/>
          <w:szCs w:val="18"/>
          <w:lang w:eastAsia="en-US"/>
        </w:rPr>
        <w:tab/>
      </w:r>
    </w:p>
    <w:p w14:paraId="629AA9D1" w14:textId="77777777" w:rsidR="006B4648" w:rsidRDefault="006B4648" w:rsidP="006B4648">
      <w:pPr>
        <w:pStyle w:val="Guide-Heading5"/>
      </w:pPr>
      <w:r w:rsidRPr="0019773D">
        <w:t xml:space="preserve">What </w:t>
      </w:r>
      <w:r>
        <w:t>are</w:t>
      </w:r>
      <w:r w:rsidRPr="0019773D">
        <w:t xml:space="preserve"> </w:t>
      </w:r>
      <w:r w:rsidRPr="002E7EB0">
        <w:t>EUROPEAN UNIVERSITIES</w:t>
      </w:r>
      <w:r w:rsidRPr="0019773D">
        <w:t>?</w:t>
      </w:r>
    </w:p>
    <w:p w14:paraId="6271AA77" w14:textId="77777777" w:rsidR="006B4648" w:rsidRPr="00762F91" w:rsidRDefault="006B4648" w:rsidP="006B4648">
      <w:pPr>
        <w:tabs>
          <w:tab w:val="left" w:pos="709"/>
        </w:tabs>
        <w:spacing w:after="120"/>
        <w:jc w:val="both"/>
        <w:rPr>
          <w:rFonts w:asciiTheme="minorHAnsi" w:eastAsia="DengXian" w:hAnsiTheme="minorHAnsi"/>
          <w:sz w:val="18"/>
          <w:szCs w:val="18"/>
        </w:rPr>
      </w:pPr>
      <w:r w:rsidRPr="00D17439">
        <w:rPr>
          <w:rFonts w:ascii="Calibri" w:hAnsi="Calibri"/>
          <w:sz w:val="18"/>
          <w:szCs w:val="18"/>
        </w:rPr>
        <w:t>The term "Universities" should be understood in its broadest sense, including all types of Higher Education Institutions.</w:t>
      </w:r>
      <w:r>
        <w:rPr>
          <w:rFonts w:ascii="Calibri" w:eastAsia="Times New Roman" w:hAnsi="Calibri"/>
          <w:sz w:val="18"/>
          <w:szCs w:val="18"/>
          <w:shd w:val="clear" w:color="auto" w:fill="FFFFFF"/>
        </w:rPr>
        <w:t xml:space="preserve"> </w:t>
      </w:r>
      <w:r w:rsidRPr="001A7825">
        <w:rPr>
          <w:rFonts w:ascii="Calibri" w:eastAsia="Times New Roman" w:hAnsi="Calibri"/>
          <w:sz w:val="18"/>
          <w:szCs w:val="18"/>
          <w:shd w:val="clear" w:color="auto" w:fill="FFFFFF"/>
        </w:rPr>
        <w:t xml:space="preserve">The </w:t>
      </w:r>
      <w:r>
        <w:rPr>
          <w:rFonts w:ascii="Calibri" w:eastAsia="Times New Roman" w:hAnsi="Calibri"/>
          <w:sz w:val="18"/>
          <w:szCs w:val="18"/>
          <w:shd w:val="clear" w:color="auto" w:fill="FFFFFF"/>
        </w:rPr>
        <w:t xml:space="preserve">European Universities initiative responds to a </w:t>
      </w:r>
      <w:r w:rsidRPr="001A7825">
        <w:rPr>
          <w:rFonts w:ascii="Calibri" w:eastAsia="Times New Roman" w:hAnsi="Calibri"/>
          <w:b/>
          <w:sz w:val="18"/>
          <w:szCs w:val="18"/>
          <w:shd w:val="clear" w:color="auto" w:fill="FFFFFF"/>
        </w:rPr>
        <w:t>long-term vision</w:t>
      </w:r>
      <w:r>
        <w:rPr>
          <w:rFonts w:ascii="Calibri" w:eastAsia="Times New Roman" w:hAnsi="Calibri"/>
          <w:sz w:val="18"/>
          <w:szCs w:val="18"/>
          <w:shd w:val="clear" w:color="auto" w:fill="FFFFFF"/>
        </w:rPr>
        <w:t xml:space="preserve"> and in this context, </w:t>
      </w:r>
      <w:r>
        <w:rPr>
          <w:rFonts w:ascii="Calibri" w:hAnsi="Calibri"/>
          <w:sz w:val="18"/>
          <w:szCs w:val="18"/>
        </w:rPr>
        <w:t>t</w:t>
      </w:r>
      <w:r w:rsidRPr="005A0A07">
        <w:rPr>
          <w:rFonts w:ascii="Calibri" w:hAnsi="Calibri"/>
          <w:sz w:val="18"/>
          <w:szCs w:val="18"/>
        </w:rPr>
        <w:t>he following key elements are expected to be implemented by the ‘European Universities’ by 2025:</w:t>
      </w:r>
    </w:p>
    <w:p w14:paraId="3DA57484" w14:textId="77777777" w:rsidR="006B4648" w:rsidRDefault="006B4648" w:rsidP="006B4648">
      <w:pPr>
        <w:pStyle w:val="Guide-Normal"/>
        <w:numPr>
          <w:ilvl w:val="0"/>
          <w:numId w:val="13"/>
        </w:numPr>
        <w:ind w:left="567" w:hanging="425"/>
      </w:pPr>
      <w:r w:rsidRPr="0007441A">
        <w:t xml:space="preserve">A </w:t>
      </w:r>
      <w:r>
        <w:t xml:space="preserve">shared, integrated, </w:t>
      </w:r>
      <w:r w:rsidRPr="0007441A">
        <w:rPr>
          <w:b/>
        </w:rPr>
        <w:t>long-term joint strategy</w:t>
      </w:r>
      <w:r>
        <w:rPr>
          <w:b/>
        </w:rPr>
        <w:t xml:space="preserve"> </w:t>
      </w:r>
      <w:r w:rsidRPr="00E41088">
        <w:t>for education with, where possible, links to</w:t>
      </w:r>
      <w:r>
        <w:rPr>
          <w:b/>
        </w:rPr>
        <w:t xml:space="preserve"> </w:t>
      </w:r>
      <w:r>
        <w:t>research and innovation and society at large:</w:t>
      </w:r>
    </w:p>
    <w:p w14:paraId="0F73CB44" w14:textId="77777777" w:rsidR="006B4648" w:rsidRPr="00E41088" w:rsidRDefault="006B4648" w:rsidP="006B4648">
      <w:pPr>
        <w:pStyle w:val="ListeParagraf"/>
        <w:widowControl/>
        <w:numPr>
          <w:ilvl w:val="1"/>
          <w:numId w:val="19"/>
        </w:numPr>
        <w:pBdr>
          <w:top w:val="nil"/>
          <w:left w:val="nil"/>
          <w:bottom w:val="nil"/>
          <w:right w:val="nil"/>
          <w:between w:val="nil"/>
          <w:bar w:val="nil"/>
        </w:pBdr>
        <w:tabs>
          <w:tab w:val="left" w:pos="5710"/>
        </w:tabs>
        <w:suppressAutoHyphens w:val="0"/>
        <w:autoSpaceDN/>
        <w:contextualSpacing w:val="0"/>
        <w:jc w:val="both"/>
        <w:rPr>
          <w:rFonts w:ascii="Calibri" w:hAnsi="Calibri"/>
          <w:sz w:val="18"/>
          <w:szCs w:val="18"/>
        </w:rPr>
      </w:pPr>
      <w:r>
        <w:rPr>
          <w:rFonts w:asciiTheme="minorHAnsi" w:hAnsiTheme="minorHAnsi"/>
          <w:sz w:val="18"/>
          <w:szCs w:val="18"/>
        </w:rPr>
        <w:t>B</w:t>
      </w:r>
      <w:r w:rsidRPr="00E41088">
        <w:rPr>
          <w:rFonts w:asciiTheme="minorHAnsi" w:hAnsiTheme="minorHAnsi"/>
          <w:sz w:val="18"/>
          <w:szCs w:val="18"/>
        </w:rPr>
        <w:t xml:space="preserve">ased on a </w:t>
      </w:r>
      <w:r>
        <w:rPr>
          <w:rFonts w:asciiTheme="minorHAnsi" w:hAnsiTheme="minorHAnsi"/>
          <w:sz w:val="18"/>
          <w:szCs w:val="18"/>
        </w:rPr>
        <w:t>common</w:t>
      </w:r>
      <w:r w:rsidRPr="00E41088">
        <w:rPr>
          <w:rFonts w:asciiTheme="minorHAnsi" w:hAnsiTheme="minorHAnsi"/>
          <w:sz w:val="18"/>
          <w:szCs w:val="18"/>
        </w:rPr>
        <w:t xml:space="preserve"> vision and shared values, for pursuing a high level of enhanced, sustainable cooperation across various levels of the organisation, and across different areas of activity, building on their complementary strengths. </w:t>
      </w:r>
    </w:p>
    <w:p w14:paraId="6849A4FA" w14:textId="77777777" w:rsidR="006B4648" w:rsidRPr="0007441A" w:rsidRDefault="006B4648" w:rsidP="006B4648">
      <w:pPr>
        <w:pStyle w:val="ListeParagraf"/>
        <w:widowControl/>
        <w:numPr>
          <w:ilvl w:val="1"/>
          <w:numId w:val="19"/>
        </w:numPr>
        <w:pBdr>
          <w:top w:val="nil"/>
          <w:left w:val="nil"/>
          <w:bottom w:val="nil"/>
          <w:right w:val="nil"/>
          <w:between w:val="nil"/>
          <w:bar w:val="nil"/>
        </w:pBdr>
        <w:tabs>
          <w:tab w:val="left" w:pos="5710"/>
        </w:tabs>
        <w:suppressAutoHyphens w:val="0"/>
        <w:autoSpaceDN/>
        <w:contextualSpacing w:val="0"/>
        <w:jc w:val="both"/>
        <w:rPr>
          <w:rFonts w:ascii="Calibri" w:hAnsi="Calibri"/>
          <w:sz w:val="18"/>
          <w:szCs w:val="18"/>
        </w:rPr>
      </w:pPr>
      <w:r w:rsidRPr="00E41088">
        <w:rPr>
          <w:rFonts w:asciiTheme="minorHAnsi" w:hAnsiTheme="minorHAnsi"/>
          <w:sz w:val="18"/>
          <w:szCs w:val="18"/>
        </w:rPr>
        <w:t>Staff at all levels of the participating organisations is empowered to implement this vision</w:t>
      </w:r>
      <w:r>
        <w:rPr>
          <w:rFonts w:asciiTheme="minorHAnsi" w:hAnsiTheme="minorHAnsi"/>
          <w:sz w:val="18"/>
          <w:szCs w:val="18"/>
        </w:rPr>
        <w:t>.</w:t>
      </w:r>
      <w:r w:rsidRPr="00E41088">
        <w:rPr>
          <w:rFonts w:asciiTheme="minorHAnsi" w:hAnsiTheme="minorHAnsi"/>
          <w:sz w:val="18"/>
          <w:szCs w:val="18"/>
        </w:rPr>
        <w:t>.</w:t>
      </w:r>
      <w:r w:rsidRPr="0007441A">
        <w:rPr>
          <w:rFonts w:ascii="Calibri" w:hAnsi="Calibri"/>
          <w:sz w:val="18"/>
          <w:szCs w:val="18"/>
        </w:rPr>
        <w:t xml:space="preserve"> </w:t>
      </w:r>
    </w:p>
    <w:p w14:paraId="6C4AEA47" w14:textId="77777777" w:rsidR="006B4648" w:rsidRPr="006429EE" w:rsidRDefault="006B4648" w:rsidP="006B4648">
      <w:pPr>
        <w:pStyle w:val="ListeParagraf"/>
        <w:tabs>
          <w:tab w:val="left" w:pos="284"/>
          <w:tab w:val="left" w:pos="709"/>
        </w:tabs>
        <w:ind w:left="786"/>
        <w:jc w:val="both"/>
        <w:rPr>
          <w:rFonts w:asciiTheme="minorHAnsi" w:hAnsiTheme="minorHAnsi"/>
          <w:i/>
          <w:sz w:val="18"/>
          <w:szCs w:val="18"/>
        </w:rPr>
      </w:pPr>
    </w:p>
    <w:p w14:paraId="110A8F5F" w14:textId="77777777" w:rsidR="006B4648" w:rsidRPr="000361EA" w:rsidRDefault="006B4648" w:rsidP="006B4648">
      <w:pPr>
        <w:pStyle w:val="Guide-Normal"/>
        <w:numPr>
          <w:ilvl w:val="0"/>
          <w:numId w:val="13"/>
        </w:numPr>
        <w:ind w:left="567" w:hanging="425"/>
      </w:pPr>
      <w:r w:rsidRPr="000361EA">
        <w:t xml:space="preserve">A </w:t>
      </w:r>
      <w:r w:rsidRPr="000361EA">
        <w:rPr>
          <w:b/>
        </w:rPr>
        <w:t>European higher education inter-university ‘campus‘</w:t>
      </w:r>
      <w:r w:rsidRPr="000361EA">
        <w:t xml:space="preserve"> where</w:t>
      </w:r>
      <w:r>
        <w:t xml:space="preserve"> typically</w:t>
      </w:r>
      <w:r w:rsidRPr="000361EA">
        <w:t>:</w:t>
      </w:r>
    </w:p>
    <w:p w14:paraId="5D2AE070" w14:textId="77777777" w:rsidR="006B4648" w:rsidRPr="006429EE" w:rsidRDefault="006B4648" w:rsidP="006B4648">
      <w:pPr>
        <w:pStyle w:val="ListeParagraf"/>
        <w:widowControl/>
        <w:numPr>
          <w:ilvl w:val="1"/>
          <w:numId w:val="19"/>
        </w:numPr>
        <w:pBdr>
          <w:top w:val="nil"/>
          <w:left w:val="nil"/>
          <w:bottom w:val="nil"/>
          <w:right w:val="nil"/>
          <w:between w:val="nil"/>
          <w:bar w:val="nil"/>
        </w:pBdr>
        <w:tabs>
          <w:tab w:val="left" w:pos="5710"/>
        </w:tabs>
        <w:suppressAutoHyphens w:val="0"/>
        <w:autoSpaceDN/>
        <w:contextualSpacing w:val="0"/>
        <w:jc w:val="both"/>
        <w:rPr>
          <w:rFonts w:asciiTheme="minorHAnsi" w:hAnsiTheme="minorHAnsi"/>
          <w:sz w:val="18"/>
          <w:szCs w:val="18"/>
        </w:rPr>
      </w:pPr>
      <w:r>
        <w:rPr>
          <w:rFonts w:asciiTheme="minorHAnsi" w:hAnsiTheme="minorHAnsi"/>
          <w:sz w:val="18"/>
          <w:szCs w:val="18"/>
        </w:rPr>
        <w:t>S</w:t>
      </w:r>
      <w:r w:rsidRPr="006429EE">
        <w:rPr>
          <w:rFonts w:asciiTheme="minorHAnsi" w:hAnsiTheme="minorHAnsi"/>
          <w:sz w:val="18"/>
          <w:szCs w:val="18"/>
        </w:rPr>
        <w:t xml:space="preserve">tudents, doctoral candidates and staff </w:t>
      </w:r>
      <w:r>
        <w:rPr>
          <w:rFonts w:asciiTheme="minorHAnsi" w:hAnsiTheme="minorHAnsi"/>
          <w:sz w:val="18"/>
          <w:szCs w:val="18"/>
        </w:rPr>
        <w:t xml:space="preserve">can move seamlessly (physically or virtually) </w:t>
      </w:r>
      <w:r w:rsidRPr="00762F91">
        <w:rPr>
          <w:rFonts w:asciiTheme="minorHAnsi" w:hAnsiTheme="minorHAnsi"/>
          <w:sz w:val="18"/>
          <w:szCs w:val="18"/>
        </w:rPr>
        <w:t>to study, train, teach, do research, work, or share services in a</w:t>
      </w:r>
      <w:r w:rsidRPr="00D704E4">
        <w:rPr>
          <w:rFonts w:asciiTheme="minorHAnsi" w:hAnsiTheme="minorHAnsi"/>
          <w:sz w:val="18"/>
          <w:szCs w:val="18"/>
        </w:rPr>
        <w:t>ny of the partner institutions</w:t>
      </w:r>
      <w:r>
        <w:rPr>
          <w:rFonts w:asciiTheme="minorHAnsi" w:hAnsiTheme="minorHAnsi"/>
          <w:sz w:val="18"/>
          <w:szCs w:val="18"/>
        </w:rPr>
        <w:t>.</w:t>
      </w:r>
      <w:r w:rsidRPr="006429EE" w:rsidDel="000C4DD8">
        <w:rPr>
          <w:rFonts w:asciiTheme="minorHAnsi" w:hAnsiTheme="minorHAnsi"/>
          <w:sz w:val="18"/>
          <w:szCs w:val="18"/>
        </w:rPr>
        <w:t xml:space="preserve"> </w:t>
      </w:r>
      <w:r w:rsidRPr="006429EE">
        <w:rPr>
          <w:rFonts w:asciiTheme="minorHAnsi" w:hAnsiTheme="minorHAnsi"/>
          <w:sz w:val="18"/>
          <w:szCs w:val="18"/>
        </w:rPr>
        <w:t xml:space="preserve">Students </w:t>
      </w:r>
      <w:r w:rsidRPr="006429EE">
        <w:rPr>
          <w:rFonts w:asciiTheme="minorHAnsi" w:hAnsiTheme="minorHAnsi"/>
          <w:b/>
          <w:sz w:val="18"/>
          <w:szCs w:val="18"/>
        </w:rPr>
        <w:t>customise their choice of where and what to study</w:t>
      </w:r>
      <w:r w:rsidRPr="006429EE">
        <w:rPr>
          <w:rFonts w:asciiTheme="minorHAnsi" w:hAnsiTheme="minorHAnsi"/>
          <w:sz w:val="18"/>
          <w:szCs w:val="18"/>
        </w:rPr>
        <w:t xml:space="preserve"> within the confines of pedagogically sound and logically structured study programmes between the different higher education institutions and other members of the alliance.  </w:t>
      </w:r>
    </w:p>
    <w:p w14:paraId="50F119FA" w14:textId="77777777" w:rsidR="006B4648" w:rsidRPr="006429EE" w:rsidRDefault="006B4648" w:rsidP="006B4648">
      <w:pPr>
        <w:pStyle w:val="ListeParagraf"/>
        <w:widowControl/>
        <w:numPr>
          <w:ilvl w:val="1"/>
          <w:numId w:val="19"/>
        </w:numPr>
        <w:pBdr>
          <w:top w:val="nil"/>
          <w:left w:val="nil"/>
          <w:bottom w:val="nil"/>
          <w:right w:val="nil"/>
          <w:between w:val="nil"/>
          <w:bar w:val="nil"/>
        </w:pBdr>
        <w:tabs>
          <w:tab w:val="left" w:pos="5710"/>
        </w:tabs>
        <w:suppressAutoHyphens w:val="0"/>
        <w:autoSpaceDN/>
        <w:contextualSpacing w:val="0"/>
        <w:jc w:val="both"/>
        <w:rPr>
          <w:rFonts w:asciiTheme="minorHAnsi" w:hAnsiTheme="minorHAnsi"/>
          <w:sz w:val="18"/>
          <w:szCs w:val="18"/>
        </w:rPr>
      </w:pPr>
      <w:r w:rsidRPr="00762F91">
        <w:rPr>
          <w:rFonts w:asciiTheme="minorHAnsi" w:hAnsiTheme="minorHAnsi"/>
          <w:b/>
          <w:sz w:val="18"/>
          <w:szCs w:val="18"/>
        </w:rPr>
        <w:t>Embedded mobility</w:t>
      </w:r>
      <w:r>
        <w:rPr>
          <w:rFonts w:asciiTheme="minorHAnsi" w:hAnsiTheme="minorHAnsi"/>
          <w:sz w:val="18"/>
          <w:szCs w:val="18"/>
        </w:rPr>
        <w:t xml:space="preserve"> at all levels, including at Bachelor, Master and Doctoral levels, is a standard feature. </w:t>
      </w:r>
      <w:r w:rsidRPr="006429EE">
        <w:rPr>
          <w:rFonts w:asciiTheme="minorHAnsi" w:hAnsiTheme="minorHAnsi"/>
          <w:sz w:val="18"/>
          <w:szCs w:val="18"/>
        </w:rPr>
        <w:t xml:space="preserve">At least 50% of the students within the alliance should benefit from such mobility, be it physical, virtual or blended. </w:t>
      </w:r>
    </w:p>
    <w:p w14:paraId="4C7E7E3C" w14:textId="77777777" w:rsidR="006B4648" w:rsidRPr="006429EE" w:rsidRDefault="006B4648" w:rsidP="006B4648">
      <w:pPr>
        <w:pStyle w:val="ListeParagraf"/>
        <w:widowControl/>
        <w:numPr>
          <w:ilvl w:val="1"/>
          <w:numId w:val="19"/>
        </w:numPr>
        <w:pBdr>
          <w:top w:val="nil"/>
          <w:left w:val="nil"/>
          <w:bottom w:val="nil"/>
          <w:right w:val="nil"/>
          <w:between w:val="nil"/>
          <w:bar w:val="nil"/>
        </w:pBdr>
        <w:tabs>
          <w:tab w:val="left" w:pos="5710"/>
        </w:tabs>
        <w:suppressAutoHyphens w:val="0"/>
        <w:autoSpaceDN/>
        <w:ind w:left="1077" w:hanging="357"/>
        <w:contextualSpacing w:val="0"/>
        <w:jc w:val="both"/>
        <w:rPr>
          <w:rFonts w:asciiTheme="minorHAnsi" w:hAnsiTheme="minorHAnsi"/>
          <w:sz w:val="18"/>
          <w:szCs w:val="18"/>
        </w:rPr>
      </w:pPr>
      <w:r w:rsidRPr="006429EE">
        <w:rPr>
          <w:rFonts w:asciiTheme="minorHAnsi" w:hAnsiTheme="minorHAnsi"/>
          <w:b/>
          <w:sz w:val="18"/>
          <w:szCs w:val="18"/>
        </w:rPr>
        <w:t>New joint and flexible curricula</w:t>
      </w:r>
      <w:r w:rsidRPr="006429EE">
        <w:rPr>
          <w:rFonts w:asciiTheme="minorHAnsi" w:hAnsiTheme="minorHAnsi"/>
          <w:sz w:val="18"/>
          <w:szCs w:val="18"/>
        </w:rPr>
        <w:t xml:space="preserve"> are delivered, where relevant, in the three cycles (Bachelor, Master and Doctoral), based on </w:t>
      </w:r>
      <w:r w:rsidRPr="006429EE">
        <w:rPr>
          <w:rFonts w:asciiTheme="minorHAnsi" w:hAnsiTheme="minorHAnsi"/>
          <w:b/>
          <w:sz w:val="18"/>
          <w:szCs w:val="18"/>
        </w:rPr>
        <w:t>cross-disciplinary/multi-disciplinary and cross-sectoral approaches</w:t>
      </w:r>
      <w:r w:rsidRPr="006429EE">
        <w:rPr>
          <w:rFonts w:asciiTheme="minorHAnsi" w:hAnsiTheme="minorHAnsi"/>
          <w:sz w:val="18"/>
          <w:szCs w:val="18"/>
        </w:rPr>
        <w:t xml:space="preserve">, integrating </w:t>
      </w:r>
      <w:r w:rsidRPr="006429EE">
        <w:rPr>
          <w:rFonts w:asciiTheme="minorHAnsi" w:hAnsiTheme="minorHAnsi"/>
          <w:sz w:val="18"/>
          <w:szCs w:val="18"/>
        </w:rPr>
        <w:lastRenderedPageBreak/>
        <w:t xml:space="preserve">innovative pedagogies, including the use of the latest digital technologies. </w:t>
      </w:r>
      <w:r>
        <w:rPr>
          <w:rFonts w:asciiTheme="minorHAnsi" w:hAnsiTheme="minorHAnsi"/>
          <w:sz w:val="18"/>
          <w:szCs w:val="18"/>
        </w:rPr>
        <w:t xml:space="preserve">While content is personalised, cooperation is global. </w:t>
      </w:r>
    </w:p>
    <w:p w14:paraId="2BBDABA6" w14:textId="77777777" w:rsidR="006B4648" w:rsidRPr="006429EE" w:rsidRDefault="006B4648" w:rsidP="006B4648">
      <w:pPr>
        <w:pStyle w:val="ListeParagraf"/>
        <w:widowControl/>
        <w:numPr>
          <w:ilvl w:val="1"/>
          <w:numId w:val="19"/>
        </w:numPr>
        <w:pBdr>
          <w:top w:val="nil"/>
          <w:left w:val="nil"/>
          <w:bottom w:val="nil"/>
          <w:right w:val="nil"/>
          <w:between w:val="nil"/>
          <w:bar w:val="nil"/>
        </w:pBdr>
        <w:tabs>
          <w:tab w:val="left" w:pos="5710"/>
        </w:tabs>
        <w:suppressAutoHyphens w:val="0"/>
        <w:autoSpaceDN/>
        <w:ind w:left="1077" w:hanging="357"/>
        <w:contextualSpacing w:val="0"/>
        <w:jc w:val="both"/>
        <w:rPr>
          <w:rFonts w:asciiTheme="minorHAnsi" w:hAnsiTheme="minorHAnsi"/>
          <w:sz w:val="18"/>
          <w:szCs w:val="18"/>
        </w:rPr>
      </w:pPr>
      <w:r w:rsidRPr="006429EE">
        <w:rPr>
          <w:rFonts w:asciiTheme="minorHAnsi" w:hAnsiTheme="minorHAnsi"/>
          <w:b/>
          <w:sz w:val="18"/>
          <w:szCs w:val="18"/>
        </w:rPr>
        <w:t>Practical and/or work-based experience</w:t>
      </w:r>
      <w:r w:rsidRPr="006429EE">
        <w:rPr>
          <w:rFonts w:asciiTheme="minorHAnsi" w:hAnsiTheme="minorHAnsi"/>
          <w:sz w:val="18"/>
          <w:szCs w:val="18"/>
        </w:rPr>
        <w:t xml:space="preserve"> is provided by external mentors to foster an </w:t>
      </w:r>
      <w:r w:rsidRPr="006429EE">
        <w:rPr>
          <w:rFonts w:asciiTheme="minorHAnsi" w:hAnsiTheme="minorHAnsi"/>
          <w:b/>
          <w:sz w:val="18"/>
          <w:szCs w:val="18"/>
        </w:rPr>
        <w:t>entrepreneurial mind-set</w:t>
      </w:r>
      <w:r w:rsidRPr="006429EE">
        <w:rPr>
          <w:rFonts w:asciiTheme="minorHAnsi" w:hAnsiTheme="minorHAnsi"/>
          <w:sz w:val="18"/>
          <w:szCs w:val="18"/>
        </w:rPr>
        <w:t xml:space="preserve"> and develop </w:t>
      </w:r>
      <w:r w:rsidRPr="006429EE">
        <w:rPr>
          <w:rFonts w:asciiTheme="minorHAnsi" w:hAnsiTheme="minorHAnsi"/>
          <w:b/>
          <w:sz w:val="18"/>
          <w:szCs w:val="18"/>
        </w:rPr>
        <w:t>civic engagement</w:t>
      </w:r>
      <w:r w:rsidRPr="006429EE">
        <w:rPr>
          <w:rFonts w:asciiTheme="minorHAnsi" w:hAnsiTheme="minorHAnsi"/>
          <w:sz w:val="18"/>
          <w:szCs w:val="18"/>
        </w:rPr>
        <w:t xml:space="preserve">; </w:t>
      </w:r>
    </w:p>
    <w:p w14:paraId="266ECFB4" w14:textId="77777777" w:rsidR="006B4648" w:rsidRPr="006429EE" w:rsidRDefault="006B4648" w:rsidP="006B4648">
      <w:pPr>
        <w:pStyle w:val="ListeParagraf"/>
        <w:widowControl/>
        <w:numPr>
          <w:ilvl w:val="1"/>
          <w:numId w:val="19"/>
        </w:numPr>
        <w:pBdr>
          <w:top w:val="nil"/>
          <w:left w:val="nil"/>
          <w:bottom w:val="nil"/>
          <w:right w:val="nil"/>
          <w:between w:val="nil"/>
          <w:bar w:val="nil"/>
        </w:pBdr>
        <w:tabs>
          <w:tab w:val="left" w:pos="5710"/>
        </w:tabs>
        <w:suppressAutoHyphens w:val="0"/>
        <w:autoSpaceDN/>
        <w:spacing w:after="120"/>
        <w:ind w:left="1077" w:hanging="357"/>
        <w:contextualSpacing w:val="0"/>
        <w:jc w:val="both"/>
        <w:rPr>
          <w:rFonts w:asciiTheme="minorHAnsi" w:hAnsiTheme="minorHAnsi"/>
          <w:sz w:val="18"/>
          <w:szCs w:val="18"/>
        </w:rPr>
      </w:pPr>
      <w:r w:rsidRPr="006429EE">
        <w:rPr>
          <w:rFonts w:asciiTheme="minorHAnsi" w:hAnsiTheme="minorHAnsi"/>
          <w:sz w:val="18"/>
          <w:szCs w:val="18"/>
        </w:rPr>
        <w:t xml:space="preserve">The </w:t>
      </w:r>
      <w:r w:rsidRPr="006429EE">
        <w:rPr>
          <w:rFonts w:asciiTheme="minorHAnsi" w:hAnsiTheme="minorHAnsi"/>
          <w:b/>
          <w:sz w:val="18"/>
          <w:szCs w:val="18"/>
        </w:rPr>
        <w:t>student body reflects the diversity</w:t>
      </w:r>
      <w:r w:rsidRPr="006429EE">
        <w:rPr>
          <w:rFonts w:asciiTheme="minorHAnsi" w:hAnsiTheme="minorHAnsi"/>
          <w:sz w:val="18"/>
          <w:szCs w:val="18"/>
        </w:rPr>
        <w:t xml:space="preserve"> of the population (in terms of social, economic and cultural aspects), including lifelong learners</w:t>
      </w:r>
      <w:r>
        <w:rPr>
          <w:rFonts w:asciiTheme="minorHAnsi" w:hAnsiTheme="minorHAnsi"/>
          <w:sz w:val="18"/>
          <w:szCs w:val="18"/>
        </w:rPr>
        <w:t>,</w:t>
      </w:r>
      <w:r w:rsidRPr="006429EE">
        <w:rPr>
          <w:rFonts w:asciiTheme="minorHAnsi" w:hAnsiTheme="minorHAnsi"/>
          <w:sz w:val="18"/>
          <w:szCs w:val="18"/>
        </w:rPr>
        <w:t xml:space="preserve"> </w:t>
      </w:r>
      <w:r w:rsidRPr="000D00FB">
        <w:rPr>
          <w:rFonts w:ascii="Calibri" w:eastAsia="Times New Roman" w:hAnsi="Calibri"/>
          <w:sz w:val="18"/>
          <w:szCs w:val="18"/>
          <w:shd w:val="clear" w:color="auto" w:fill="FFFFFF"/>
        </w:rPr>
        <w:t>part-time and non-</w:t>
      </w:r>
      <w:r w:rsidRPr="00CD5AEF">
        <w:rPr>
          <w:rFonts w:ascii="Calibri" w:eastAsia="Times New Roman" w:hAnsi="Calibri"/>
          <w:sz w:val="18"/>
          <w:szCs w:val="18"/>
          <w:shd w:val="clear" w:color="auto" w:fill="FFFFFF"/>
        </w:rPr>
        <w:t xml:space="preserve">traditional students.  </w:t>
      </w:r>
      <w:r>
        <w:rPr>
          <w:rFonts w:ascii="Calibri" w:eastAsia="Times New Roman" w:hAnsi="Calibri"/>
          <w:sz w:val="18"/>
          <w:szCs w:val="18"/>
          <w:shd w:val="clear" w:color="auto" w:fill="FFFFFF"/>
        </w:rPr>
        <w:t>A</w:t>
      </w:r>
      <w:r w:rsidRPr="006429EE">
        <w:rPr>
          <w:rFonts w:asciiTheme="minorHAnsi" w:hAnsiTheme="minorHAnsi"/>
          <w:sz w:val="18"/>
          <w:szCs w:val="18"/>
        </w:rPr>
        <w:t>ccess, participation and completion of under-represented and disadvantaged groups</w:t>
      </w:r>
      <w:r>
        <w:rPr>
          <w:rFonts w:asciiTheme="minorHAnsi" w:hAnsiTheme="minorHAnsi"/>
          <w:sz w:val="18"/>
          <w:szCs w:val="18"/>
        </w:rPr>
        <w:t xml:space="preserve"> are ensured.</w:t>
      </w:r>
      <w:r w:rsidRPr="00EF5F86">
        <w:t xml:space="preserve"> </w:t>
      </w:r>
      <w:r w:rsidRPr="00CD5AEF">
        <w:rPr>
          <w:rFonts w:ascii="Calibri" w:eastAsia="Times New Roman" w:hAnsi="Calibri"/>
          <w:sz w:val="18"/>
          <w:szCs w:val="18"/>
          <w:shd w:val="clear" w:color="auto" w:fill="FFFFFF"/>
        </w:rPr>
        <w:t xml:space="preserve"> </w:t>
      </w:r>
    </w:p>
    <w:p w14:paraId="0423026A" w14:textId="77777777" w:rsidR="006B4648" w:rsidRPr="006429EE" w:rsidRDefault="006B4648" w:rsidP="006B4648">
      <w:pPr>
        <w:pStyle w:val="ListeParagraf"/>
        <w:numPr>
          <w:ilvl w:val="0"/>
          <w:numId w:val="18"/>
        </w:numPr>
        <w:tabs>
          <w:tab w:val="left" w:pos="284"/>
          <w:tab w:val="left" w:pos="709"/>
        </w:tabs>
        <w:ind w:hanging="644"/>
        <w:jc w:val="both"/>
        <w:rPr>
          <w:rFonts w:ascii="Calibri" w:hAnsi="Calibri"/>
          <w:sz w:val="18"/>
          <w:szCs w:val="18"/>
        </w:rPr>
      </w:pPr>
      <w:r>
        <w:rPr>
          <w:rFonts w:ascii="Calibri" w:hAnsi="Calibri"/>
          <w:b/>
          <w:sz w:val="18"/>
          <w:szCs w:val="18"/>
        </w:rPr>
        <w:tab/>
        <w:t>European knowledge-creating teams (“</w:t>
      </w:r>
      <w:r w:rsidRPr="006429EE">
        <w:rPr>
          <w:rFonts w:ascii="Calibri" w:hAnsi="Calibri"/>
          <w:b/>
          <w:sz w:val="18"/>
          <w:szCs w:val="18"/>
        </w:rPr>
        <w:t xml:space="preserve">challenge-based </w:t>
      </w:r>
      <w:r>
        <w:rPr>
          <w:rFonts w:ascii="Calibri" w:hAnsi="Calibri"/>
          <w:sz w:val="18"/>
          <w:szCs w:val="18"/>
        </w:rPr>
        <w:t>approach”)</w:t>
      </w:r>
      <w:r w:rsidRPr="006429EE">
        <w:rPr>
          <w:rFonts w:ascii="Calibri" w:hAnsi="Calibri"/>
          <w:sz w:val="18"/>
          <w:szCs w:val="18"/>
        </w:rPr>
        <w:t xml:space="preserve"> of students and academics, possibly together with researchers</w:t>
      </w:r>
      <w:r>
        <w:rPr>
          <w:rFonts w:ascii="Calibri" w:hAnsi="Calibri"/>
          <w:sz w:val="18"/>
          <w:szCs w:val="18"/>
        </w:rPr>
        <w:t>,</w:t>
      </w:r>
      <w:r w:rsidRPr="006429EE">
        <w:rPr>
          <w:rFonts w:ascii="Calibri" w:hAnsi="Calibri"/>
          <w:sz w:val="18"/>
          <w:szCs w:val="18"/>
        </w:rPr>
        <w:t xml:space="preserve"> businesses, regional actors and civil society actors - depending on the overall strategy and vision of the alliance - address together societal and other challenges of their choice in a multi-disciplinary approach through:</w:t>
      </w:r>
    </w:p>
    <w:p w14:paraId="4E203DB3" w14:textId="77777777" w:rsidR="006B4648" w:rsidRPr="006429EE" w:rsidRDefault="006B4648" w:rsidP="006B4648">
      <w:pPr>
        <w:pStyle w:val="ListeParagraf"/>
        <w:numPr>
          <w:ilvl w:val="1"/>
          <w:numId w:val="18"/>
        </w:numPr>
        <w:tabs>
          <w:tab w:val="left" w:pos="284"/>
          <w:tab w:val="left" w:pos="709"/>
        </w:tabs>
        <w:ind w:left="1146"/>
        <w:jc w:val="both"/>
        <w:rPr>
          <w:rFonts w:ascii="Calibri" w:hAnsi="Calibri"/>
          <w:sz w:val="18"/>
          <w:szCs w:val="18"/>
        </w:rPr>
      </w:pPr>
      <w:r w:rsidRPr="006429EE">
        <w:rPr>
          <w:rFonts w:ascii="Calibri" w:hAnsi="Calibri"/>
          <w:sz w:val="18"/>
          <w:szCs w:val="18"/>
        </w:rPr>
        <w:t>innovative learning and training that equip students and researchers with high-level, entrepreneurial, Open Science and transferable skills for a fast-changing labour market and knowledge economy and society, including through the transfer of research results back into education</w:t>
      </w:r>
    </w:p>
    <w:p w14:paraId="45EBE7C6" w14:textId="77777777" w:rsidR="006B4648" w:rsidRDefault="006B4648" w:rsidP="006B4648">
      <w:pPr>
        <w:pStyle w:val="ListeParagraf"/>
        <w:numPr>
          <w:ilvl w:val="1"/>
          <w:numId w:val="18"/>
        </w:numPr>
        <w:tabs>
          <w:tab w:val="left" w:pos="284"/>
          <w:tab w:val="left" w:pos="709"/>
        </w:tabs>
        <w:spacing w:after="120"/>
        <w:ind w:left="1145" w:hanging="357"/>
        <w:jc w:val="both"/>
        <w:rPr>
          <w:rFonts w:ascii="Calibri" w:hAnsi="Calibri"/>
          <w:sz w:val="18"/>
          <w:szCs w:val="18"/>
        </w:rPr>
      </w:pPr>
      <w:r w:rsidRPr="006429EE">
        <w:rPr>
          <w:rFonts w:ascii="Calibri" w:hAnsi="Calibri"/>
          <w:sz w:val="18"/>
          <w:szCs w:val="18"/>
        </w:rPr>
        <w:t>creation of innovative solutions adaptable to different regions in Europe</w:t>
      </w:r>
    </w:p>
    <w:p w14:paraId="0627786A" w14:textId="77777777" w:rsidR="006B4648" w:rsidRPr="006429EE" w:rsidRDefault="006B4648" w:rsidP="006B4648">
      <w:pPr>
        <w:pStyle w:val="ListeParagraf"/>
        <w:tabs>
          <w:tab w:val="left" w:pos="284"/>
          <w:tab w:val="left" w:pos="709"/>
        </w:tabs>
        <w:spacing w:after="120"/>
        <w:ind w:left="1145"/>
        <w:jc w:val="both"/>
        <w:rPr>
          <w:rFonts w:ascii="Calibri" w:hAnsi="Calibri"/>
          <w:sz w:val="18"/>
          <w:szCs w:val="18"/>
        </w:rPr>
      </w:pPr>
    </w:p>
    <w:p w14:paraId="33433A0C" w14:textId="77777777" w:rsidR="006B4648" w:rsidRPr="000D00FB" w:rsidRDefault="006B4648" w:rsidP="006B4648">
      <w:pPr>
        <w:pStyle w:val="Guide-Normal"/>
      </w:pPr>
      <w:r>
        <w:t xml:space="preserve">In addition, </w:t>
      </w:r>
      <w:r w:rsidRPr="000D00FB">
        <w:t xml:space="preserve">‘European Universities’ </w:t>
      </w:r>
      <w:r>
        <w:t xml:space="preserve">should </w:t>
      </w:r>
      <w:r w:rsidRPr="000D00FB">
        <w:t xml:space="preserve">act as </w:t>
      </w:r>
      <w:r w:rsidRPr="000361EA">
        <w:rPr>
          <w:b/>
        </w:rPr>
        <w:t>models of good practice</w:t>
      </w:r>
      <w:r>
        <w:t xml:space="preserve"> </w:t>
      </w:r>
      <w:r w:rsidRPr="000D00FB">
        <w:t xml:space="preserve">to progressively </w:t>
      </w:r>
      <w:r>
        <w:t xml:space="preserve">further </w:t>
      </w:r>
      <w:r w:rsidRPr="000D00FB">
        <w:t xml:space="preserve">increase the </w:t>
      </w:r>
      <w:r>
        <w:t xml:space="preserve">quality, </w:t>
      </w:r>
      <w:r w:rsidRPr="000D00FB">
        <w:t xml:space="preserve">international competitiveness and attractiveness of </w:t>
      </w:r>
      <w:r>
        <w:t xml:space="preserve">the </w:t>
      </w:r>
      <w:r w:rsidRPr="000D00FB">
        <w:t>European higher education</w:t>
      </w:r>
      <w:r>
        <w:t xml:space="preserve"> </w:t>
      </w:r>
      <w:r w:rsidRPr="00BE0453">
        <w:t>landscape</w:t>
      </w:r>
      <w:r>
        <w:t xml:space="preserve"> and should become key elements of the European Education Area by driving excellence. </w:t>
      </w:r>
      <w:r w:rsidRPr="00BE0453">
        <w:t xml:space="preserve"> </w:t>
      </w:r>
      <w:r>
        <w:t>As laid down in the Communication Building a stronger Europe: the role of youth, education and culture policies</w:t>
      </w:r>
      <w:r>
        <w:rPr>
          <w:rStyle w:val="DipnotBavurusu"/>
        </w:rPr>
        <w:footnoteReference w:id="4"/>
      </w:r>
      <w:r>
        <w:t>, "Establishing the European Education Area will enable the EU Member States to do more, faster, to  drive up the quality, competitiveness and inclusiveness of their education and training systems, while providing inspiration to non-EU countries to follow".</w:t>
      </w:r>
      <w:r w:rsidRPr="00BE0453">
        <w:t xml:space="preserve"> In this respect, 'European Universities’</w:t>
      </w:r>
      <w:r w:rsidRPr="00EE14BA">
        <w:t>, in cooperation with their national authorities,</w:t>
      </w:r>
      <w:r>
        <w:t xml:space="preserve"> should commit</w:t>
      </w:r>
      <w:r w:rsidRPr="00EE14BA">
        <w:t xml:space="preserve"> to work towards relevant policy objectives of the European Education Area, such as: multilingualism; automatic recognition</w:t>
      </w:r>
      <w:r w:rsidRPr="00EE14BA">
        <w:rPr>
          <w:vertAlign w:val="superscript"/>
        </w:rPr>
        <w:footnoteReference w:id="5"/>
      </w:r>
      <w:r w:rsidRPr="00EE14BA">
        <w:rPr>
          <w:vertAlign w:val="superscript"/>
        </w:rPr>
        <w:t xml:space="preserve"> </w:t>
      </w:r>
      <w:r w:rsidRPr="00EE14BA">
        <w:t>of academic qualifications and learning periods abroad provided for by the participating higher education institutions within the alliance; the use of the European Student Card</w:t>
      </w:r>
      <w:r w:rsidRPr="00EE14BA">
        <w:rPr>
          <w:vertAlign w:val="superscript"/>
        </w:rPr>
        <w:footnoteReference w:id="6"/>
      </w:r>
      <w:r w:rsidRPr="00EE14BA">
        <w:t>, once fully operational; as well as the Bologna key commitments (quality assurance, recognition, and wherever applicable three cycle degree</w:t>
      </w:r>
      <w:r w:rsidRPr="00EE14BA">
        <w:rPr>
          <w:vertAlign w:val="superscript"/>
        </w:rPr>
        <w:footnoteReference w:id="7"/>
      </w:r>
      <w:r w:rsidRPr="00EE14BA">
        <w:t>).</w:t>
      </w:r>
    </w:p>
    <w:p w14:paraId="3516B966" w14:textId="77777777" w:rsidR="006B4648" w:rsidRPr="00A109AA" w:rsidRDefault="006B4648" w:rsidP="006B4648">
      <w:pPr>
        <w:widowControl/>
        <w:suppressAutoHyphens w:val="0"/>
        <w:autoSpaceDN/>
        <w:spacing w:after="200"/>
        <w:contextualSpacing/>
        <w:jc w:val="both"/>
        <w:textAlignment w:val="auto"/>
        <w:rPr>
          <w:rFonts w:ascii="Calibri" w:eastAsia="Times New Roman" w:hAnsi="Calibri"/>
          <w:sz w:val="18"/>
          <w:szCs w:val="18"/>
          <w:shd w:val="clear" w:color="auto" w:fill="FFFFFF"/>
        </w:rPr>
      </w:pPr>
    </w:p>
    <w:p w14:paraId="43D34C21" w14:textId="77777777" w:rsidR="006B4648" w:rsidRPr="0019773D" w:rsidRDefault="006B4648" w:rsidP="006B4648">
      <w:pPr>
        <w:pStyle w:val="Guide-Heading5"/>
      </w:pPr>
      <w:r>
        <w:t>What will</w:t>
      </w:r>
      <w:r w:rsidRPr="0019773D">
        <w:t xml:space="preserve"> this Action</w:t>
      </w:r>
      <w:r>
        <w:t xml:space="preserve"> support</w:t>
      </w:r>
      <w:r w:rsidRPr="0019773D">
        <w:t>?</w:t>
      </w:r>
    </w:p>
    <w:p w14:paraId="1C1C722C" w14:textId="77777777" w:rsidR="006B4648" w:rsidRDefault="006B4648" w:rsidP="006B4648">
      <w:pPr>
        <w:pStyle w:val="Guide-Normal"/>
      </w:pPr>
      <w:r>
        <w:t xml:space="preserve">This action will support higher education institutions </w:t>
      </w:r>
      <w:r w:rsidRPr="000D00FB">
        <w:t xml:space="preserve">in </w:t>
      </w:r>
      <w:r w:rsidRPr="00B77DC7">
        <w:rPr>
          <w:b/>
        </w:rPr>
        <w:t>going beyond existing higher education cooperation models</w:t>
      </w:r>
      <w:r>
        <w:t xml:space="preserve">, and gradually </w:t>
      </w:r>
      <w:r w:rsidRPr="000D00FB">
        <w:t>achiev</w:t>
      </w:r>
      <w:r>
        <w:t>ing</w:t>
      </w:r>
      <w:r w:rsidRPr="000D00FB">
        <w:t xml:space="preserve"> the long-term </w:t>
      </w:r>
      <w:r>
        <w:t xml:space="preserve">ambitious </w:t>
      </w:r>
      <w:r w:rsidRPr="000D00FB">
        <w:t xml:space="preserve">vision for </w:t>
      </w:r>
      <w:r>
        <w:t>'</w:t>
      </w:r>
      <w:r w:rsidRPr="000D00FB">
        <w:t>European Universities'</w:t>
      </w:r>
      <w:r>
        <w:t xml:space="preserve">. </w:t>
      </w:r>
    </w:p>
    <w:p w14:paraId="0A54AFD8" w14:textId="77777777" w:rsidR="006B4648" w:rsidRDefault="006B4648" w:rsidP="006B4648">
      <w:pPr>
        <w:pStyle w:val="Guide-Normal"/>
      </w:pPr>
    </w:p>
    <w:p w14:paraId="6DEAAB3C" w14:textId="77777777" w:rsidR="006B4648" w:rsidRDefault="006B4648" w:rsidP="006B4648">
      <w:pPr>
        <w:pStyle w:val="Guide-Normal"/>
        <w:numPr>
          <w:ilvl w:val="0"/>
          <w:numId w:val="13"/>
        </w:numPr>
        <w:ind w:left="567"/>
      </w:pPr>
      <w:r>
        <w:t xml:space="preserve">This action will </w:t>
      </w:r>
      <w:r w:rsidRPr="00B77DC7">
        <w:rPr>
          <w:b/>
        </w:rPr>
        <w:t>test different innovative and structural models</w:t>
      </w:r>
      <w:r w:rsidRPr="00621CEA">
        <w:t xml:space="preserve"> </w:t>
      </w:r>
      <w:r>
        <w:t xml:space="preserve">for implementing and achieving the long-term vision mentioned in the section "What are European Universities". It will support the creation of alliances, ideally composed of 5 to 8 partners, by either setting-up new cooperation partnerships or enhance existing ones, </w:t>
      </w:r>
      <w:r w:rsidRPr="00621CEA">
        <w:t xml:space="preserve">through a </w:t>
      </w:r>
      <w:r w:rsidRPr="00B77DC7">
        <w:rPr>
          <w:b/>
        </w:rPr>
        <w:t>step by step approach</w:t>
      </w:r>
      <w:r>
        <w:t>. They will have</w:t>
      </w:r>
      <w:r w:rsidRPr="00621CEA">
        <w:t xml:space="preserve"> the possibility to associate academic and non-academic partners </w:t>
      </w:r>
      <w:r>
        <w:t xml:space="preserve">from the world of work </w:t>
      </w:r>
      <w:r w:rsidRPr="00621CEA">
        <w:t xml:space="preserve">and to grow at a later stage. </w:t>
      </w:r>
    </w:p>
    <w:p w14:paraId="5EB81EB9" w14:textId="77777777" w:rsidR="006B4648" w:rsidRDefault="006B4648" w:rsidP="006B4648">
      <w:pPr>
        <w:pStyle w:val="Guide-Normal"/>
        <w:ind w:left="567"/>
      </w:pPr>
    </w:p>
    <w:p w14:paraId="587F77D9" w14:textId="77777777" w:rsidR="006B4648" w:rsidRDefault="006B4648" w:rsidP="006B4648">
      <w:pPr>
        <w:pStyle w:val="Guide-Normal"/>
        <w:numPr>
          <w:ilvl w:val="0"/>
          <w:numId w:val="13"/>
        </w:numPr>
        <w:ind w:left="567" w:hanging="425"/>
      </w:pPr>
      <w:r>
        <w:t>Through this action, higher education institutions will progressively implement the activities that are necessary to achieve</w:t>
      </w:r>
      <w:r w:rsidRPr="00996A82">
        <w:t xml:space="preserve"> the</w:t>
      </w:r>
      <w:r>
        <w:t>ir</w:t>
      </w:r>
      <w:r w:rsidRPr="00996A82">
        <w:t xml:space="preserve"> long-term vision</w:t>
      </w:r>
      <w:r>
        <w:t>, starting by increasing their</w:t>
      </w:r>
      <w:r w:rsidRPr="009A6EBB">
        <w:t xml:space="preserve"> level of integration</w:t>
      </w:r>
      <w:r>
        <w:t>.</w:t>
      </w:r>
      <w:r w:rsidRPr="002A0827">
        <w:t xml:space="preserve"> </w:t>
      </w:r>
      <w:r>
        <w:t>To achieve this objective</w:t>
      </w:r>
      <w:r w:rsidRPr="009A6EBB">
        <w:t xml:space="preserve">, </w:t>
      </w:r>
      <w:r>
        <w:t xml:space="preserve">they will agree on </w:t>
      </w:r>
      <w:r w:rsidRPr="009A6EBB">
        <w:t xml:space="preserve">a </w:t>
      </w:r>
      <w:r w:rsidRPr="00B77DC7">
        <w:rPr>
          <w:b/>
        </w:rPr>
        <w:t>mission statement</w:t>
      </w:r>
      <w:r>
        <w:rPr>
          <w:b/>
        </w:rPr>
        <w:t xml:space="preserve"> </w:t>
      </w:r>
      <w:r w:rsidRPr="00621CEA">
        <w:t xml:space="preserve">at institutional level of each of the members of the alliance. </w:t>
      </w:r>
      <w:r>
        <w:t xml:space="preserve">The mission statement will have to entail a full </w:t>
      </w:r>
      <w:r w:rsidRPr="00E646D0">
        <w:rPr>
          <w:b/>
        </w:rPr>
        <w:t>joint strategy</w:t>
      </w:r>
      <w:r>
        <w:t xml:space="preserve"> for pursuing a high level of enhanced and sustainable cooperation across various levels of the organisation (e.g. management, academics, professional/support staff and students), and across different areas of activity (strong education focus with links where possible to research and innovation and service to society), building on their complementary strengths.</w:t>
      </w:r>
    </w:p>
    <w:p w14:paraId="2D25951A" w14:textId="77777777" w:rsidR="006B4648" w:rsidRDefault="006B4648" w:rsidP="006B4648">
      <w:pPr>
        <w:pStyle w:val="Guide-Normal"/>
        <w:ind w:left="567"/>
      </w:pPr>
    </w:p>
    <w:p w14:paraId="15D5D50C" w14:textId="77777777" w:rsidR="006B4648" w:rsidRPr="007430C7" w:rsidRDefault="006B4648" w:rsidP="006B4648">
      <w:pPr>
        <w:pStyle w:val="Guide-Normal"/>
        <w:numPr>
          <w:ilvl w:val="0"/>
          <w:numId w:val="13"/>
        </w:numPr>
        <w:ind w:left="567"/>
      </w:pPr>
      <w:r>
        <w:t>As this action follows a bottom-up approach, each alliance will have the flexibility to shape its</w:t>
      </w:r>
      <w:r w:rsidRPr="00621CEA">
        <w:t xml:space="preserve"> </w:t>
      </w:r>
      <w:r w:rsidRPr="003918D1">
        <w:rPr>
          <w:b/>
        </w:rPr>
        <w:t>joint work plan</w:t>
      </w:r>
      <w:r w:rsidRPr="00621CEA">
        <w:t xml:space="preserve"> </w:t>
      </w:r>
      <w:r w:rsidRPr="003918D1">
        <w:rPr>
          <w:b/>
        </w:rPr>
        <w:t>of activities</w:t>
      </w:r>
      <w:r w:rsidRPr="00621CEA">
        <w:t xml:space="preserve"> </w:t>
      </w:r>
      <w:r>
        <w:t>that is the most relevant to reach</w:t>
      </w:r>
      <w:r w:rsidRPr="00621CEA">
        <w:t xml:space="preserve"> </w:t>
      </w:r>
      <w:r>
        <w:t xml:space="preserve">their </w:t>
      </w:r>
      <w:r w:rsidRPr="00621CEA">
        <w:t>strategic objectives</w:t>
      </w:r>
      <w:r>
        <w:t xml:space="preserve"> and that will ultimately help them in achieving the long term vision of European Universities, as described above.</w:t>
      </w:r>
      <w:r w:rsidRPr="00621CEA">
        <w:t xml:space="preserve">  Th</w:t>
      </w:r>
      <w:r>
        <w:t>is joint work plan of activities</w:t>
      </w:r>
      <w:r w:rsidRPr="00621CEA">
        <w:t xml:space="preserve"> </w:t>
      </w:r>
      <w:r>
        <w:t xml:space="preserve">should be </w:t>
      </w:r>
      <w:r w:rsidRPr="00621CEA">
        <w:t xml:space="preserve">supported by the design of relevant and efficient </w:t>
      </w:r>
      <w:r w:rsidRPr="003918D1">
        <w:rPr>
          <w:b/>
        </w:rPr>
        <w:t>common management structures</w:t>
      </w:r>
      <w:r>
        <w:t>. Examples for</w:t>
      </w:r>
      <w:r w:rsidRPr="007430C7">
        <w:t xml:space="preserve"> establishing a tight cooperation between inst</w:t>
      </w:r>
      <w:r>
        <w:t>itutional management structures are:</w:t>
      </w:r>
      <w:r w:rsidRPr="007430C7">
        <w:t xml:space="preserve"> setting up joint boards, developing common pool of physical and virtual intellectual and administrative resources, </w:t>
      </w:r>
      <w:r w:rsidRPr="007430C7">
        <w:lastRenderedPageBreak/>
        <w:t xml:space="preserve">distributing shared resources, common provision of infrastructure, data and services such as student, researcher and staff </w:t>
      </w:r>
      <w:r w:rsidRPr="00793624">
        <w:t>support, administration and international relations, with digitalised joint processes wherever possible)</w:t>
      </w:r>
      <w:r>
        <w:t xml:space="preserve">. </w:t>
      </w:r>
    </w:p>
    <w:p w14:paraId="475AF597" w14:textId="77777777" w:rsidR="006B4648" w:rsidRDefault="006B4648" w:rsidP="006B4648">
      <w:pPr>
        <w:pStyle w:val="Guide-Normal"/>
        <w:ind w:left="567" w:hanging="360"/>
      </w:pPr>
    </w:p>
    <w:p w14:paraId="078C7F98" w14:textId="77777777" w:rsidR="006B4648" w:rsidRPr="00621CEA" w:rsidRDefault="006B4648" w:rsidP="006B4648">
      <w:pPr>
        <w:pStyle w:val="Guide-Normal"/>
        <w:numPr>
          <w:ilvl w:val="0"/>
          <w:numId w:val="13"/>
        </w:numPr>
        <w:ind w:left="567"/>
      </w:pPr>
      <w:r>
        <w:t>The joint work plan should also include activities t</w:t>
      </w:r>
      <w:r w:rsidRPr="00621CEA">
        <w:t>o reach the high level of ambition in terms of mobility, social inclusion, and challenge-based approach.</w:t>
      </w:r>
      <w:r>
        <w:t xml:space="preserve"> </w:t>
      </w:r>
      <w:r w:rsidRPr="00621CEA">
        <w:t xml:space="preserve">Alliances should </w:t>
      </w:r>
      <w:r>
        <w:t xml:space="preserve">also </w:t>
      </w:r>
      <w:r w:rsidRPr="00621CEA">
        <w:t xml:space="preserve">engage with key stakeholders in education and where </w:t>
      </w:r>
      <w:r>
        <w:t>possible</w:t>
      </w:r>
      <w:r w:rsidRPr="00621CEA">
        <w:t xml:space="preserve"> research and innovation to foster societal engagement of students and staff as well as their entrepreneurial key competences.</w:t>
      </w:r>
      <w:r>
        <w:t xml:space="preserve"> </w:t>
      </w:r>
      <w:r w:rsidRPr="00BF4A2D">
        <w:rPr>
          <w:b/>
        </w:rPr>
        <w:t xml:space="preserve">This action will support higher education institutions in implementing the first steps of this joint </w:t>
      </w:r>
      <w:r>
        <w:rPr>
          <w:b/>
        </w:rPr>
        <w:t xml:space="preserve">work </w:t>
      </w:r>
      <w:r w:rsidRPr="00BF4A2D">
        <w:rPr>
          <w:b/>
        </w:rPr>
        <w:t>plan</w:t>
      </w:r>
      <w:r>
        <w:rPr>
          <w:b/>
        </w:rPr>
        <w:t xml:space="preserve"> of activities</w:t>
      </w:r>
      <w:r>
        <w:t xml:space="preserve">. </w:t>
      </w:r>
    </w:p>
    <w:p w14:paraId="3407A69D" w14:textId="77777777" w:rsidR="006B4648" w:rsidRDefault="006B4648" w:rsidP="006B4648">
      <w:pPr>
        <w:pStyle w:val="Guide-Heading5"/>
      </w:pPr>
      <w:r w:rsidRPr="0019773D">
        <w:t xml:space="preserve">Who can take part in a </w:t>
      </w:r>
      <w:r>
        <w:t>European University</w:t>
      </w:r>
      <w:r w:rsidRPr="0019773D">
        <w:t>?</w:t>
      </w:r>
    </w:p>
    <w:p w14:paraId="248F97F3" w14:textId="77777777" w:rsidR="006B4648" w:rsidRPr="00A109AA" w:rsidRDefault="006B4648" w:rsidP="006B4648">
      <w:pPr>
        <w:autoSpaceDE w:val="0"/>
        <w:adjustRightInd w:val="0"/>
        <w:jc w:val="both"/>
        <w:rPr>
          <w:rFonts w:ascii="Calibri" w:hAnsi="Calibri" w:cs="Calibri"/>
          <w:color w:val="000000"/>
          <w:sz w:val="18"/>
          <w:szCs w:val="18"/>
        </w:rPr>
      </w:pPr>
      <w:r w:rsidRPr="00A109AA">
        <w:rPr>
          <w:rFonts w:ascii="Calibri" w:hAnsi="Calibri" w:cs="Calibri"/>
          <w:b/>
          <w:bCs/>
          <w:color w:val="000000"/>
          <w:sz w:val="18"/>
          <w:szCs w:val="18"/>
        </w:rPr>
        <w:t xml:space="preserve">Applicant/coordinator: </w:t>
      </w:r>
      <w:r w:rsidRPr="00A109AA">
        <w:rPr>
          <w:rFonts w:ascii="Calibri" w:hAnsi="Calibri" w:cs="Calibri"/>
          <w:color w:val="000000"/>
          <w:sz w:val="18"/>
          <w:szCs w:val="18"/>
        </w:rPr>
        <w:t xml:space="preserve">a participating organisation that submits the proposal on behalf of all the partners. The coordinator has the full responsibility to ensure that the </w:t>
      </w:r>
      <w:r>
        <w:rPr>
          <w:rFonts w:ascii="Calibri" w:hAnsi="Calibri" w:cs="Calibri"/>
          <w:color w:val="000000"/>
          <w:sz w:val="18"/>
          <w:szCs w:val="18"/>
        </w:rPr>
        <w:t>proposal</w:t>
      </w:r>
      <w:r w:rsidRPr="00A109AA">
        <w:rPr>
          <w:rFonts w:ascii="Calibri" w:hAnsi="Calibri" w:cs="Calibri"/>
          <w:color w:val="000000"/>
          <w:sz w:val="18"/>
          <w:szCs w:val="18"/>
        </w:rPr>
        <w:t xml:space="preserve"> is implemented in accordance with the agreement. Its coordinating activities cover the following duties: </w:t>
      </w:r>
    </w:p>
    <w:p w14:paraId="33C5009F" w14:textId="77777777" w:rsidR="006B4648" w:rsidRPr="00A109AA" w:rsidRDefault="006B4648" w:rsidP="006B4648">
      <w:pPr>
        <w:autoSpaceDE w:val="0"/>
        <w:adjustRightInd w:val="0"/>
        <w:spacing w:after="4"/>
        <w:jc w:val="both"/>
        <w:rPr>
          <w:rFonts w:ascii="Calibri" w:hAnsi="Calibri" w:cs="Calibri"/>
          <w:color w:val="000000"/>
          <w:sz w:val="18"/>
          <w:szCs w:val="18"/>
        </w:rPr>
      </w:pPr>
      <w:r w:rsidRPr="00274AAA">
        <w:rPr>
          <w:rFonts w:ascii="Wingdings" w:hAnsi="Wingdings" w:cs="Wingdings"/>
          <w:color w:val="000000"/>
          <w:sz w:val="18"/>
          <w:szCs w:val="18"/>
        </w:rPr>
        <w:t></w:t>
      </w:r>
      <w:r w:rsidRPr="00274AAA">
        <w:rPr>
          <w:rFonts w:ascii="Wingdings" w:hAnsi="Wingdings" w:cs="Wingdings"/>
          <w:color w:val="000000"/>
          <w:sz w:val="18"/>
          <w:szCs w:val="18"/>
        </w:rPr>
        <w:t></w:t>
      </w:r>
      <w:r w:rsidRPr="00A109AA">
        <w:rPr>
          <w:rFonts w:ascii="Calibri" w:hAnsi="Calibri" w:cs="Calibri"/>
          <w:color w:val="000000"/>
          <w:sz w:val="18"/>
          <w:szCs w:val="18"/>
        </w:rPr>
        <w:t xml:space="preserve">represents and acts on behalf of the European University alliance towards the European Commission; </w:t>
      </w:r>
    </w:p>
    <w:p w14:paraId="27B5A835" w14:textId="77777777" w:rsidR="006B4648" w:rsidRPr="00A109AA" w:rsidRDefault="006B4648" w:rsidP="006B4648">
      <w:pPr>
        <w:autoSpaceDE w:val="0"/>
        <w:adjustRightInd w:val="0"/>
        <w:spacing w:after="4"/>
        <w:jc w:val="both"/>
        <w:rPr>
          <w:rFonts w:ascii="Calibri" w:hAnsi="Calibri" w:cs="Calibri"/>
          <w:color w:val="000000"/>
          <w:sz w:val="18"/>
          <w:szCs w:val="18"/>
        </w:rPr>
      </w:pPr>
      <w:r w:rsidRPr="00274AAA">
        <w:rPr>
          <w:rFonts w:ascii="Wingdings" w:hAnsi="Wingdings" w:cs="Wingdings"/>
          <w:color w:val="000000"/>
          <w:sz w:val="18"/>
          <w:szCs w:val="18"/>
        </w:rPr>
        <w:t></w:t>
      </w:r>
      <w:r w:rsidRPr="00274AAA">
        <w:rPr>
          <w:rFonts w:ascii="Wingdings" w:hAnsi="Wingdings" w:cs="Wingdings"/>
          <w:color w:val="000000"/>
          <w:sz w:val="18"/>
          <w:szCs w:val="18"/>
        </w:rPr>
        <w:t></w:t>
      </w:r>
      <w:r w:rsidRPr="00A109AA">
        <w:rPr>
          <w:rFonts w:ascii="Calibri" w:hAnsi="Calibri" w:cs="Calibri"/>
          <w:color w:val="000000"/>
          <w:sz w:val="18"/>
          <w:szCs w:val="18"/>
        </w:rPr>
        <w:t xml:space="preserve">bears the financial and legal responsibility for the proper operational, administrative and financial implementation of the </w:t>
      </w:r>
      <w:r>
        <w:rPr>
          <w:rFonts w:ascii="Calibri" w:hAnsi="Calibri" w:cs="Calibri"/>
          <w:color w:val="000000"/>
          <w:sz w:val="18"/>
          <w:szCs w:val="18"/>
        </w:rPr>
        <w:t>European University alliance</w:t>
      </w:r>
      <w:r w:rsidRPr="00A109AA">
        <w:rPr>
          <w:rFonts w:ascii="Calibri" w:hAnsi="Calibri" w:cs="Calibri"/>
          <w:color w:val="000000"/>
          <w:sz w:val="18"/>
          <w:szCs w:val="18"/>
        </w:rPr>
        <w:t xml:space="preserve">; </w:t>
      </w:r>
    </w:p>
    <w:p w14:paraId="7F02C7ED" w14:textId="77777777" w:rsidR="006B4648" w:rsidRPr="00A109AA" w:rsidRDefault="006B4648" w:rsidP="006B4648">
      <w:pPr>
        <w:autoSpaceDE w:val="0"/>
        <w:adjustRightInd w:val="0"/>
        <w:jc w:val="both"/>
        <w:rPr>
          <w:rFonts w:ascii="Calibri" w:hAnsi="Calibri" w:cs="Calibri"/>
          <w:color w:val="000000"/>
          <w:sz w:val="18"/>
          <w:szCs w:val="18"/>
        </w:rPr>
      </w:pPr>
      <w:r w:rsidRPr="00274AAA">
        <w:rPr>
          <w:rFonts w:ascii="Wingdings" w:hAnsi="Wingdings" w:cs="Wingdings"/>
          <w:color w:val="000000"/>
          <w:sz w:val="18"/>
          <w:szCs w:val="18"/>
        </w:rPr>
        <w:t></w:t>
      </w:r>
      <w:r w:rsidRPr="00274AAA">
        <w:rPr>
          <w:rFonts w:ascii="Wingdings" w:hAnsi="Wingdings" w:cs="Wingdings"/>
          <w:color w:val="000000"/>
          <w:sz w:val="18"/>
          <w:szCs w:val="18"/>
        </w:rPr>
        <w:t></w:t>
      </w:r>
      <w:r w:rsidRPr="00A109AA">
        <w:rPr>
          <w:rFonts w:ascii="Calibri" w:hAnsi="Calibri" w:cs="Calibri"/>
          <w:color w:val="000000"/>
          <w:sz w:val="18"/>
          <w:szCs w:val="18"/>
        </w:rPr>
        <w:t xml:space="preserve">coordinates the European University alliance in cooperation with </w:t>
      </w:r>
      <w:r>
        <w:rPr>
          <w:rFonts w:ascii="Calibri" w:hAnsi="Calibri" w:cs="Calibri"/>
          <w:color w:val="000000"/>
          <w:sz w:val="18"/>
          <w:szCs w:val="18"/>
        </w:rPr>
        <w:t>the</w:t>
      </w:r>
      <w:r w:rsidRPr="00A109AA">
        <w:rPr>
          <w:rFonts w:ascii="Calibri" w:hAnsi="Calibri" w:cs="Calibri"/>
          <w:color w:val="000000"/>
          <w:sz w:val="18"/>
          <w:szCs w:val="18"/>
        </w:rPr>
        <w:t xml:space="preserve"> partners. </w:t>
      </w:r>
    </w:p>
    <w:p w14:paraId="28BCC4A9" w14:textId="77777777" w:rsidR="006B4648" w:rsidRPr="00A109AA" w:rsidRDefault="006B4648" w:rsidP="006B4648">
      <w:pPr>
        <w:autoSpaceDE w:val="0"/>
        <w:adjustRightInd w:val="0"/>
        <w:jc w:val="both"/>
        <w:rPr>
          <w:rFonts w:ascii="Calibri" w:hAnsi="Calibri" w:cs="Calibri"/>
          <w:color w:val="000000"/>
          <w:sz w:val="18"/>
          <w:szCs w:val="18"/>
        </w:rPr>
      </w:pPr>
    </w:p>
    <w:p w14:paraId="6CD16115" w14:textId="77777777" w:rsidR="006B4648" w:rsidRPr="00A109AA" w:rsidRDefault="006B4648" w:rsidP="006B4648">
      <w:pPr>
        <w:autoSpaceDE w:val="0"/>
        <w:adjustRightInd w:val="0"/>
        <w:jc w:val="both"/>
        <w:rPr>
          <w:rFonts w:ascii="Calibri" w:hAnsi="Calibri" w:cs="Calibri"/>
          <w:color w:val="000000"/>
          <w:sz w:val="18"/>
          <w:szCs w:val="18"/>
        </w:rPr>
      </w:pPr>
      <w:r w:rsidRPr="00A109AA">
        <w:rPr>
          <w:rFonts w:ascii="Calibri" w:hAnsi="Calibri" w:cs="Calibri"/>
          <w:b/>
          <w:bCs/>
          <w:color w:val="000000"/>
          <w:sz w:val="18"/>
          <w:szCs w:val="18"/>
        </w:rPr>
        <w:t xml:space="preserve">Full partners </w:t>
      </w:r>
      <w:r w:rsidRPr="00A109AA">
        <w:rPr>
          <w:rFonts w:ascii="Calibri" w:hAnsi="Calibri" w:cs="Calibri"/>
          <w:color w:val="000000"/>
          <w:sz w:val="18"/>
          <w:szCs w:val="18"/>
        </w:rPr>
        <w:t xml:space="preserve">are those participating organisations that contribute actively to the achievement of the European Universities objectives. Each full partner must sign a mandate to confer to the coordinating organisation the responsibility of acting as main beneficiary and act in his name during the implementation of the </w:t>
      </w:r>
      <w:r>
        <w:rPr>
          <w:rFonts w:ascii="Calibri" w:hAnsi="Calibri" w:cs="Calibri"/>
          <w:color w:val="000000"/>
          <w:sz w:val="18"/>
          <w:szCs w:val="18"/>
        </w:rPr>
        <w:t>proposal;</w:t>
      </w:r>
    </w:p>
    <w:p w14:paraId="37864CBA" w14:textId="77777777" w:rsidR="006B4648" w:rsidRPr="00A109AA" w:rsidRDefault="006B4648" w:rsidP="006B4648">
      <w:pPr>
        <w:autoSpaceDE w:val="0"/>
        <w:adjustRightInd w:val="0"/>
        <w:jc w:val="both"/>
        <w:rPr>
          <w:rFonts w:ascii="Calibri" w:hAnsi="Calibri" w:cs="Calibri"/>
          <w:b/>
          <w:color w:val="000000"/>
          <w:sz w:val="18"/>
          <w:szCs w:val="18"/>
        </w:rPr>
      </w:pPr>
    </w:p>
    <w:p w14:paraId="363A5D34" w14:textId="77777777" w:rsidR="006B4648" w:rsidRPr="00A109AA" w:rsidRDefault="006B4648" w:rsidP="006B4648">
      <w:pPr>
        <w:autoSpaceDE w:val="0"/>
        <w:adjustRightInd w:val="0"/>
        <w:jc w:val="both"/>
        <w:rPr>
          <w:rFonts w:ascii="Calibri" w:hAnsi="Calibri" w:cs="Calibri"/>
          <w:color w:val="000000"/>
          <w:sz w:val="18"/>
          <w:szCs w:val="18"/>
        </w:rPr>
      </w:pPr>
      <w:r w:rsidRPr="00A109AA">
        <w:rPr>
          <w:rFonts w:ascii="Calibri" w:hAnsi="Calibri" w:cs="Calibri"/>
          <w:b/>
          <w:color w:val="000000"/>
          <w:sz w:val="18"/>
          <w:szCs w:val="18"/>
        </w:rPr>
        <w:t xml:space="preserve">Associated partners </w:t>
      </w:r>
      <w:r w:rsidRPr="00A109AA">
        <w:rPr>
          <w:rFonts w:ascii="Calibri" w:hAnsi="Calibri" w:cs="Calibri"/>
          <w:color w:val="000000"/>
          <w:sz w:val="18"/>
          <w:szCs w:val="18"/>
        </w:rPr>
        <w:t xml:space="preserve">(optional): European Universities can involve associated partners who contribute to the implementation of specific tasks/activities or support the dissemination and sustainability of the </w:t>
      </w:r>
      <w:r>
        <w:rPr>
          <w:rFonts w:ascii="Calibri" w:hAnsi="Calibri" w:cs="Calibri"/>
          <w:color w:val="000000"/>
          <w:sz w:val="18"/>
          <w:szCs w:val="18"/>
        </w:rPr>
        <w:t>a</w:t>
      </w:r>
      <w:r w:rsidRPr="00A109AA">
        <w:rPr>
          <w:rFonts w:ascii="Calibri" w:hAnsi="Calibri" w:cs="Calibri"/>
          <w:color w:val="000000"/>
          <w:sz w:val="18"/>
          <w:szCs w:val="18"/>
        </w:rPr>
        <w:t>lliance. For contractual management issues, “associated partners” are not considered as part of the partners</w:t>
      </w:r>
      <w:r>
        <w:rPr>
          <w:rFonts w:ascii="Calibri" w:hAnsi="Calibri" w:cs="Calibri"/>
          <w:color w:val="000000"/>
          <w:sz w:val="18"/>
          <w:szCs w:val="18"/>
        </w:rPr>
        <w:t xml:space="preserve"> of the European University</w:t>
      </w:r>
      <w:r w:rsidRPr="00A109AA">
        <w:rPr>
          <w:rFonts w:ascii="Calibri" w:hAnsi="Calibri" w:cs="Calibri"/>
          <w:color w:val="000000"/>
          <w:sz w:val="18"/>
          <w:szCs w:val="18"/>
        </w:rPr>
        <w:t>, and they do not receive funding. However, their involvement and role in different activities have to be clearly described.</w:t>
      </w:r>
    </w:p>
    <w:p w14:paraId="7816615D" w14:textId="77777777" w:rsidR="006B4648" w:rsidRPr="006429EE" w:rsidRDefault="006B4648" w:rsidP="006B4648">
      <w:pPr>
        <w:pStyle w:val="Guide-Normal"/>
        <w:rPr>
          <w:rFonts w:asciiTheme="minorHAnsi" w:hAnsiTheme="minorHAnsi"/>
        </w:rPr>
      </w:pPr>
    </w:p>
    <w:p w14:paraId="0DA225F3" w14:textId="77777777" w:rsidR="006B4648" w:rsidRPr="005C7D1B" w:rsidRDefault="006B4648" w:rsidP="006B4648">
      <w:pPr>
        <w:pStyle w:val="Guide-Normal"/>
        <w:rPr>
          <w:rFonts w:asciiTheme="minorHAnsi" w:hAnsiTheme="minorHAnsi"/>
        </w:rPr>
      </w:pPr>
      <w:r w:rsidRPr="00ED4A4C">
        <w:rPr>
          <w:rFonts w:asciiTheme="minorHAnsi" w:hAnsiTheme="minorHAnsi"/>
          <w:b/>
        </w:rPr>
        <w:t>Affiliated entities</w:t>
      </w:r>
      <w:r>
        <w:rPr>
          <w:rFonts w:asciiTheme="minorHAnsi" w:hAnsiTheme="minorHAnsi"/>
          <w:b/>
        </w:rPr>
        <w:t xml:space="preserve"> (optional)</w:t>
      </w:r>
      <w:r w:rsidRPr="005C7D1B">
        <w:rPr>
          <w:rFonts w:asciiTheme="minorHAnsi" w:hAnsiTheme="minorHAnsi"/>
        </w:rPr>
        <w:t xml:space="preserve">: </w:t>
      </w:r>
      <w:r w:rsidRPr="00707F4D">
        <w:rPr>
          <w:rFonts w:asciiTheme="minorHAnsi" w:hAnsiTheme="minorHAnsi"/>
        </w:rPr>
        <w:t>Organisations</w:t>
      </w:r>
      <w:r>
        <w:rPr>
          <w:rFonts w:asciiTheme="minorHAnsi" w:hAnsiTheme="minorHAnsi"/>
        </w:rPr>
        <w:t xml:space="preserve"> </w:t>
      </w:r>
      <w:r w:rsidRPr="00707F4D">
        <w:rPr>
          <w:rFonts w:asciiTheme="minorHAnsi" w:hAnsiTheme="minorHAnsi"/>
        </w:rPr>
        <w:t xml:space="preserve">that contribute to the achievement of </w:t>
      </w:r>
      <w:r>
        <w:rPr>
          <w:rFonts w:asciiTheme="minorHAnsi" w:hAnsiTheme="minorHAnsi"/>
        </w:rPr>
        <w:t>the European University's</w:t>
      </w:r>
      <w:r w:rsidRPr="00707F4D">
        <w:rPr>
          <w:rFonts w:asciiTheme="minorHAnsi" w:hAnsiTheme="minorHAnsi"/>
        </w:rPr>
        <w:t xml:space="preserve"> objectives and activities. Affiliated entities must be identified in the grant application and satisfy the requirements as described in </w:t>
      </w:r>
      <w:r>
        <w:rPr>
          <w:rFonts w:asciiTheme="minorHAnsi" w:hAnsiTheme="minorHAnsi"/>
        </w:rPr>
        <w:t>Annex III</w:t>
      </w:r>
      <w:r w:rsidRPr="00707F4D">
        <w:rPr>
          <w:rFonts w:asciiTheme="minorHAnsi" w:hAnsiTheme="minorHAnsi"/>
        </w:rPr>
        <w:t xml:space="preserve"> (Glossary</w:t>
      </w:r>
      <w:r>
        <w:rPr>
          <w:rFonts w:asciiTheme="minorHAnsi" w:hAnsiTheme="minorHAnsi"/>
        </w:rPr>
        <w:t xml:space="preserve"> of terms</w:t>
      </w:r>
      <w:r w:rsidRPr="00707F4D">
        <w:rPr>
          <w:rFonts w:asciiTheme="minorHAnsi" w:hAnsiTheme="minorHAnsi"/>
        </w:rPr>
        <w:t>) of this Programme Guide.</w:t>
      </w:r>
      <w:r>
        <w:rPr>
          <w:rFonts w:asciiTheme="minorHAnsi" w:hAnsiTheme="minorHAnsi"/>
        </w:rPr>
        <w:t xml:space="preserve"> </w:t>
      </w:r>
    </w:p>
    <w:p w14:paraId="209683D1" w14:textId="77777777" w:rsidR="006B4648" w:rsidRPr="0019773D" w:rsidRDefault="006B4648" w:rsidP="006B4648">
      <w:pPr>
        <w:pStyle w:val="Guide-Heading5"/>
      </w:pPr>
      <w:r w:rsidRPr="0019773D">
        <w:t xml:space="preserve">What are the criteria used to assess a </w:t>
      </w:r>
      <w:r>
        <w:t>European University proposal</w:t>
      </w:r>
      <w:r w:rsidRPr="0019773D">
        <w:t xml:space="preserve">? </w:t>
      </w:r>
    </w:p>
    <w:p w14:paraId="494BA6AB" w14:textId="77777777" w:rsidR="006B4648" w:rsidRPr="0019773D" w:rsidRDefault="006B4648" w:rsidP="006B4648">
      <w:pPr>
        <w:pStyle w:val="Guide-Heading6"/>
      </w:pPr>
      <w:r w:rsidRPr="0019773D">
        <w:t>Eligibility Criteria</w:t>
      </w:r>
    </w:p>
    <w:tbl>
      <w:tblPr>
        <w:tblW w:w="5001" w:type="pct"/>
        <w:tblBorders>
          <w:top w:val="single" w:sz="4" w:space="0" w:color="auto"/>
          <w:left w:val="single" w:sz="4" w:space="0" w:color="auto"/>
          <w:bottom w:val="single" w:sz="4" w:space="0" w:color="auto"/>
          <w:right w:val="single" w:sz="4" w:space="0" w:color="auto"/>
          <w:insideH w:val="dashed" w:sz="4" w:space="0" w:color="auto"/>
          <w:insideV w:val="single" w:sz="8" w:space="0" w:color="000000"/>
        </w:tblBorders>
        <w:shd w:val="clear" w:color="auto" w:fill="FFFFFF"/>
        <w:tblLook w:val="0000" w:firstRow="0" w:lastRow="0" w:firstColumn="0" w:lastColumn="0" w:noHBand="0" w:noVBand="0"/>
      </w:tblPr>
      <w:tblGrid>
        <w:gridCol w:w="2023"/>
        <w:gridCol w:w="7041"/>
      </w:tblGrid>
      <w:tr w:rsidR="006B4648" w:rsidRPr="001A605D" w14:paraId="5793AD8A" w14:textId="77777777" w:rsidTr="00ED48D9">
        <w:trPr>
          <w:cantSplit/>
        </w:trPr>
        <w:tc>
          <w:tcPr>
            <w:tcW w:w="1116" w:type="pct"/>
            <w:shd w:val="clear" w:color="auto" w:fill="FFFFFF"/>
            <w:vAlign w:val="center"/>
          </w:tcPr>
          <w:p w14:paraId="7645BB5F" w14:textId="77777777" w:rsidR="006B4648" w:rsidRPr="0019773D" w:rsidRDefault="006B4648" w:rsidP="00ED48D9">
            <w:pPr>
              <w:spacing w:before="40" w:after="40"/>
              <w:rPr>
                <w:rFonts w:ascii="Calibri" w:hAnsi="Calibri"/>
                <w:b/>
                <w:sz w:val="18"/>
              </w:rPr>
            </w:pPr>
            <w:r w:rsidRPr="0019773D">
              <w:rPr>
                <w:rFonts w:ascii="Calibri" w:hAnsi="Calibri"/>
                <w:b/>
                <w:sz w:val="18"/>
              </w:rPr>
              <w:t>Eligible participating organisations</w:t>
            </w:r>
          </w:p>
        </w:tc>
        <w:tc>
          <w:tcPr>
            <w:tcW w:w="3884" w:type="pct"/>
            <w:shd w:val="clear" w:color="auto" w:fill="FFFFFF"/>
          </w:tcPr>
          <w:p w14:paraId="6C320FC3" w14:textId="77777777" w:rsidR="006B4648" w:rsidRPr="00D17439" w:rsidRDefault="006B4648" w:rsidP="00ED48D9">
            <w:pPr>
              <w:shd w:val="clear" w:color="auto" w:fill="FFFFFF"/>
              <w:spacing w:beforeLines="40" w:before="96" w:afterLines="40" w:after="96"/>
              <w:jc w:val="both"/>
              <w:rPr>
                <w:rFonts w:ascii="Calibri" w:hAnsi="Calibri"/>
                <w:sz w:val="18"/>
                <w:szCs w:val="18"/>
                <w:lang w:val="en-US"/>
              </w:rPr>
            </w:pPr>
            <w:r>
              <w:rPr>
                <w:rFonts w:ascii="Calibri" w:hAnsi="Calibri"/>
                <w:sz w:val="18"/>
                <w:szCs w:val="18"/>
                <w:lang w:val="en-US"/>
              </w:rPr>
              <w:t>Any higher education institution</w:t>
            </w:r>
            <w:r w:rsidRPr="007C341C">
              <w:rPr>
                <w:rFonts w:ascii="Calibri" w:hAnsi="Calibri"/>
                <w:sz w:val="18"/>
                <w:szCs w:val="18"/>
                <w:lang w:val="en-US"/>
              </w:rPr>
              <w:t xml:space="preserve"> holding a valid Erasmus Charter for Higher Education (ECHE)</w:t>
            </w:r>
            <w:r>
              <w:rPr>
                <w:rFonts w:ascii="Calibri" w:hAnsi="Calibri"/>
                <w:sz w:val="18"/>
                <w:szCs w:val="18"/>
                <w:lang w:val="en-US"/>
              </w:rPr>
              <w:t xml:space="preserve">, </w:t>
            </w:r>
            <w:r w:rsidRPr="00F56AA6">
              <w:rPr>
                <w:rFonts w:ascii="Calibri" w:hAnsi="Calibri"/>
                <w:sz w:val="18"/>
                <w:szCs w:val="18"/>
                <w:lang w:val="en-US"/>
              </w:rPr>
              <w:t>with its affiliated entities (if any)</w:t>
            </w:r>
            <w:r>
              <w:rPr>
                <w:rFonts w:ascii="Calibri" w:hAnsi="Calibri"/>
                <w:sz w:val="18"/>
                <w:szCs w:val="18"/>
                <w:lang w:val="en-US"/>
              </w:rPr>
              <w:t>.</w:t>
            </w:r>
            <w:r w:rsidRPr="007C341C">
              <w:rPr>
                <w:rFonts w:ascii="Calibri" w:hAnsi="Calibri"/>
                <w:sz w:val="18"/>
                <w:szCs w:val="18"/>
                <w:lang w:val="en-US"/>
              </w:rPr>
              <w:t xml:space="preserve"> </w:t>
            </w:r>
          </w:p>
        </w:tc>
      </w:tr>
      <w:tr w:rsidR="006B4648" w:rsidRPr="001A605D" w14:paraId="6BC5DDC2" w14:textId="77777777" w:rsidTr="00ED48D9">
        <w:trPr>
          <w:cantSplit/>
        </w:trPr>
        <w:tc>
          <w:tcPr>
            <w:tcW w:w="1116" w:type="pct"/>
            <w:shd w:val="clear" w:color="auto" w:fill="FFFFFF"/>
            <w:vAlign w:val="center"/>
          </w:tcPr>
          <w:p w14:paraId="57757128" w14:textId="77777777" w:rsidR="006B4648" w:rsidRPr="0019773D" w:rsidRDefault="006B4648" w:rsidP="00ED48D9">
            <w:pPr>
              <w:spacing w:before="40" w:after="40"/>
              <w:rPr>
                <w:rFonts w:ascii="Calibri" w:hAnsi="Calibri"/>
                <w:b/>
                <w:sz w:val="18"/>
              </w:rPr>
            </w:pPr>
            <w:r w:rsidRPr="0019773D">
              <w:rPr>
                <w:rFonts w:ascii="Calibri" w:hAnsi="Calibri"/>
                <w:b/>
                <w:sz w:val="18"/>
              </w:rPr>
              <w:t>Who can apply?</w:t>
            </w:r>
          </w:p>
        </w:tc>
        <w:tc>
          <w:tcPr>
            <w:tcW w:w="3884" w:type="pct"/>
            <w:shd w:val="clear" w:color="auto" w:fill="FFFFFF"/>
          </w:tcPr>
          <w:p w14:paraId="4F82E632" w14:textId="77777777" w:rsidR="006B4648" w:rsidRPr="00114E9D" w:rsidRDefault="006B4648" w:rsidP="00ED48D9">
            <w:pPr>
              <w:spacing w:beforeLines="40" w:before="96" w:afterLines="40" w:after="96"/>
              <w:jc w:val="both"/>
              <w:rPr>
                <w:rFonts w:ascii="Calibri" w:hAnsi="Calibri"/>
                <w:sz w:val="18"/>
              </w:rPr>
            </w:pPr>
            <w:r w:rsidRPr="00605C99">
              <w:rPr>
                <w:rFonts w:ascii="Calibri" w:hAnsi="Calibri"/>
                <w:sz w:val="18"/>
                <w:szCs w:val="18"/>
                <w:lang w:val="en-US"/>
              </w:rPr>
              <w:t xml:space="preserve">Any eligible participating higher education institution established in an </w:t>
            </w:r>
            <w:r w:rsidRPr="00DA3913">
              <w:rPr>
                <w:rFonts w:ascii="Calibri" w:hAnsi="Calibri"/>
                <w:sz w:val="18"/>
                <w:szCs w:val="18"/>
                <w:lang w:val="en-US"/>
              </w:rPr>
              <w:t xml:space="preserve">EU Member State </w:t>
            </w:r>
            <w:r w:rsidRPr="00605C99">
              <w:rPr>
                <w:rFonts w:ascii="Calibri" w:hAnsi="Calibri"/>
                <w:sz w:val="18"/>
                <w:szCs w:val="18"/>
                <w:lang w:val="en-US"/>
              </w:rPr>
              <w:t>or</w:t>
            </w:r>
            <w:r>
              <w:rPr>
                <w:rFonts w:ascii="Calibri" w:hAnsi="Calibri"/>
                <w:sz w:val="18"/>
                <w:szCs w:val="18"/>
                <w:lang w:val="en-US"/>
              </w:rPr>
              <w:t xml:space="preserve"> other</w:t>
            </w:r>
            <w:r w:rsidRPr="00605C99">
              <w:rPr>
                <w:rFonts w:ascii="Calibri" w:hAnsi="Calibri"/>
                <w:sz w:val="18"/>
                <w:szCs w:val="18"/>
                <w:lang w:val="en-US"/>
              </w:rPr>
              <w:t xml:space="preserve"> Programme country can be the applicant. This organisation applies on behalf of all participating organisations involved in the European university. </w:t>
            </w:r>
          </w:p>
        </w:tc>
      </w:tr>
      <w:tr w:rsidR="006B4648" w:rsidRPr="001A605D" w14:paraId="40C40B51" w14:textId="77777777" w:rsidTr="00ED48D9">
        <w:trPr>
          <w:cantSplit/>
        </w:trPr>
        <w:tc>
          <w:tcPr>
            <w:tcW w:w="1116" w:type="pct"/>
            <w:shd w:val="clear" w:color="auto" w:fill="FFFFFF"/>
            <w:vAlign w:val="center"/>
          </w:tcPr>
          <w:p w14:paraId="20D95443" w14:textId="77777777" w:rsidR="006B4648" w:rsidRPr="000E1EEB" w:rsidRDefault="006B4648" w:rsidP="00ED48D9">
            <w:pPr>
              <w:spacing w:before="40" w:after="40"/>
              <w:rPr>
                <w:rFonts w:ascii="Calibri" w:hAnsi="Calibri"/>
                <w:b/>
                <w:sz w:val="18"/>
              </w:rPr>
            </w:pPr>
            <w:r w:rsidRPr="000E1EEB">
              <w:rPr>
                <w:rFonts w:ascii="Calibri" w:hAnsi="Calibri"/>
                <w:b/>
                <w:sz w:val="18"/>
              </w:rPr>
              <w:t>Number and profile of participating organisations</w:t>
            </w:r>
          </w:p>
        </w:tc>
        <w:tc>
          <w:tcPr>
            <w:tcW w:w="3884" w:type="pct"/>
            <w:shd w:val="clear" w:color="auto" w:fill="auto"/>
          </w:tcPr>
          <w:p w14:paraId="4C8260B0" w14:textId="77777777" w:rsidR="006B4648" w:rsidRPr="00114E9D" w:rsidRDefault="006B4648" w:rsidP="00ED48D9">
            <w:pPr>
              <w:spacing w:beforeLines="40" w:before="96" w:afterLines="40" w:after="96"/>
              <w:jc w:val="both"/>
              <w:rPr>
                <w:rFonts w:ascii="Calibri" w:hAnsi="Calibri"/>
                <w:sz w:val="18"/>
                <w:lang w:val="en-US"/>
              </w:rPr>
            </w:pPr>
            <w:r w:rsidRPr="00605C99">
              <w:rPr>
                <w:rFonts w:ascii="Calibri" w:hAnsi="Calibri"/>
                <w:sz w:val="18"/>
              </w:rPr>
              <w:t>The European University must be composed of a</w:t>
            </w:r>
            <w:r w:rsidRPr="00DA3913">
              <w:rPr>
                <w:rFonts w:ascii="Calibri" w:hAnsi="Calibri"/>
                <w:sz w:val="18"/>
                <w:lang w:val="en-US"/>
              </w:rPr>
              <w:t xml:space="preserve"> minimum of three higher education institutions from at least three </w:t>
            </w:r>
            <w:r w:rsidRPr="00605C99">
              <w:rPr>
                <w:rFonts w:ascii="Calibri" w:hAnsi="Calibri"/>
                <w:sz w:val="18"/>
                <w:lang w:val="en-US"/>
              </w:rPr>
              <w:t>EU Member States or</w:t>
            </w:r>
            <w:r w:rsidRPr="00114E9D">
              <w:rPr>
                <w:rFonts w:ascii="Calibri" w:hAnsi="Calibri"/>
                <w:sz w:val="18"/>
                <w:lang w:val="en-US"/>
              </w:rPr>
              <w:t xml:space="preserve"> </w:t>
            </w:r>
            <w:r>
              <w:rPr>
                <w:rFonts w:ascii="Calibri" w:hAnsi="Calibri"/>
                <w:sz w:val="18"/>
                <w:lang w:val="en-US"/>
              </w:rPr>
              <w:t xml:space="preserve">other </w:t>
            </w:r>
            <w:r w:rsidRPr="00114E9D">
              <w:rPr>
                <w:rFonts w:ascii="Calibri" w:hAnsi="Calibri"/>
                <w:sz w:val="18"/>
                <w:lang w:val="en-US"/>
              </w:rPr>
              <w:t>Programme countries.</w:t>
            </w:r>
            <w:r w:rsidRPr="00605C99">
              <w:rPr>
                <w:rFonts w:ascii="Calibri" w:hAnsi="Calibri"/>
                <w:sz w:val="18"/>
                <w:lang w:val="en-US"/>
              </w:rPr>
              <w:t xml:space="preserve"> </w:t>
            </w:r>
            <w:r w:rsidRPr="00DA3913">
              <w:rPr>
                <w:rFonts w:ascii="Calibri" w:hAnsi="Calibri"/>
                <w:sz w:val="18"/>
                <w:lang w:val="en-US"/>
              </w:rPr>
              <w:t xml:space="preserve"> In addition, any public/private organisation</w:t>
            </w:r>
            <w:r w:rsidRPr="00605C99">
              <w:rPr>
                <w:rFonts w:ascii="Calibri" w:hAnsi="Calibri"/>
                <w:sz w:val="18"/>
                <w:lang w:val="en-US"/>
              </w:rPr>
              <w:t xml:space="preserve"> active in the field of education and training, research and innovation or in the world of work can be part (as associated partner) of the alliance. </w:t>
            </w:r>
          </w:p>
        </w:tc>
      </w:tr>
      <w:tr w:rsidR="006B4648" w:rsidRPr="00D17439" w14:paraId="64A1BD5A" w14:textId="77777777" w:rsidTr="00ED48D9">
        <w:trPr>
          <w:cantSplit/>
        </w:trPr>
        <w:tc>
          <w:tcPr>
            <w:tcW w:w="1116" w:type="pct"/>
            <w:shd w:val="clear" w:color="auto" w:fill="FFFFFF"/>
            <w:vAlign w:val="center"/>
          </w:tcPr>
          <w:p w14:paraId="3BF2F1ED" w14:textId="77777777" w:rsidR="006B4648" w:rsidRPr="00E53DD4" w:rsidRDefault="006B4648" w:rsidP="00ED48D9">
            <w:pPr>
              <w:spacing w:before="40" w:after="40"/>
              <w:rPr>
                <w:rFonts w:ascii="Calibri" w:hAnsi="Calibri"/>
                <w:b/>
                <w:sz w:val="18"/>
              </w:rPr>
            </w:pPr>
            <w:r w:rsidRPr="00E53DD4">
              <w:rPr>
                <w:rFonts w:ascii="Calibri" w:hAnsi="Calibri"/>
                <w:b/>
                <w:sz w:val="18"/>
              </w:rPr>
              <w:t xml:space="preserve">Duration </w:t>
            </w:r>
          </w:p>
        </w:tc>
        <w:tc>
          <w:tcPr>
            <w:tcW w:w="3884" w:type="pct"/>
            <w:shd w:val="clear" w:color="auto" w:fill="FFFFFF"/>
            <w:vAlign w:val="center"/>
          </w:tcPr>
          <w:p w14:paraId="7237E038" w14:textId="77777777" w:rsidR="006B4648" w:rsidRPr="0019773D" w:rsidRDefault="006B4648" w:rsidP="00ED48D9">
            <w:pPr>
              <w:spacing w:beforeLines="40" w:before="96" w:afterLines="40" w:after="96"/>
              <w:jc w:val="both"/>
              <w:rPr>
                <w:rFonts w:ascii="Calibri" w:hAnsi="Calibri"/>
                <w:sz w:val="18"/>
              </w:rPr>
            </w:pPr>
            <w:r w:rsidRPr="0019773D">
              <w:rPr>
                <w:rFonts w:ascii="Calibri" w:hAnsi="Calibri"/>
                <w:sz w:val="18"/>
              </w:rPr>
              <w:t>3 years</w:t>
            </w:r>
            <w:r>
              <w:rPr>
                <w:rFonts w:ascii="Calibri" w:hAnsi="Calibri"/>
                <w:sz w:val="18"/>
              </w:rPr>
              <w:t xml:space="preserve"> </w:t>
            </w:r>
          </w:p>
        </w:tc>
      </w:tr>
      <w:tr w:rsidR="006B4648" w:rsidRPr="001A605D" w14:paraId="6FEFC8C2" w14:textId="77777777" w:rsidTr="00ED48D9">
        <w:trPr>
          <w:cantSplit/>
        </w:trPr>
        <w:tc>
          <w:tcPr>
            <w:tcW w:w="1116" w:type="pct"/>
            <w:shd w:val="clear" w:color="auto" w:fill="FFFFFF"/>
            <w:vAlign w:val="center"/>
          </w:tcPr>
          <w:p w14:paraId="2BEA0D06" w14:textId="77777777" w:rsidR="006B4648" w:rsidRPr="0019773D" w:rsidRDefault="006B4648" w:rsidP="00ED48D9">
            <w:pPr>
              <w:spacing w:before="40" w:after="40"/>
              <w:rPr>
                <w:rFonts w:ascii="Calibri" w:hAnsi="Calibri"/>
                <w:b/>
                <w:sz w:val="18"/>
              </w:rPr>
            </w:pPr>
            <w:r w:rsidRPr="0019773D">
              <w:rPr>
                <w:rFonts w:ascii="Calibri" w:hAnsi="Calibri"/>
                <w:b/>
                <w:sz w:val="18"/>
              </w:rPr>
              <w:t xml:space="preserve">Where to apply? </w:t>
            </w:r>
          </w:p>
        </w:tc>
        <w:tc>
          <w:tcPr>
            <w:tcW w:w="3884" w:type="pct"/>
            <w:shd w:val="clear" w:color="auto" w:fill="FFFFFF"/>
          </w:tcPr>
          <w:p w14:paraId="4D02652A" w14:textId="77777777" w:rsidR="006B4648" w:rsidRPr="0019773D" w:rsidRDefault="006B4648" w:rsidP="00ED48D9">
            <w:pPr>
              <w:spacing w:beforeLines="40" w:before="96" w:afterLines="40" w:after="96"/>
              <w:jc w:val="both"/>
              <w:rPr>
                <w:rFonts w:ascii="Calibri" w:hAnsi="Calibri"/>
                <w:sz w:val="18"/>
              </w:rPr>
            </w:pPr>
            <w:r w:rsidRPr="0019773D">
              <w:rPr>
                <w:rFonts w:ascii="Calibri" w:hAnsi="Calibri"/>
                <w:sz w:val="18"/>
              </w:rPr>
              <w:t>To the Education, Audiovisual and Culture Executive Agency, located in Brussels.</w:t>
            </w:r>
          </w:p>
        </w:tc>
      </w:tr>
      <w:tr w:rsidR="006B4648" w:rsidRPr="001A605D" w14:paraId="3CAB2DFF" w14:textId="77777777" w:rsidTr="00ED48D9">
        <w:trPr>
          <w:cantSplit/>
        </w:trPr>
        <w:tc>
          <w:tcPr>
            <w:tcW w:w="1116" w:type="pct"/>
            <w:shd w:val="clear" w:color="auto" w:fill="FFFFFF"/>
            <w:vAlign w:val="center"/>
          </w:tcPr>
          <w:p w14:paraId="5CF5A5C6" w14:textId="77777777" w:rsidR="006B4648" w:rsidRPr="0019773D" w:rsidRDefault="006B4648" w:rsidP="00ED48D9">
            <w:pPr>
              <w:spacing w:before="40" w:after="40"/>
              <w:rPr>
                <w:rFonts w:ascii="Calibri" w:hAnsi="Calibri"/>
                <w:b/>
                <w:sz w:val="18"/>
              </w:rPr>
            </w:pPr>
            <w:r w:rsidRPr="0019773D">
              <w:rPr>
                <w:rFonts w:ascii="Calibri" w:hAnsi="Calibri"/>
                <w:b/>
                <w:sz w:val="18"/>
              </w:rPr>
              <w:t>When to apply?</w:t>
            </w:r>
          </w:p>
        </w:tc>
        <w:tc>
          <w:tcPr>
            <w:tcW w:w="3884" w:type="pct"/>
            <w:shd w:val="clear" w:color="auto" w:fill="FFFFFF"/>
            <w:vAlign w:val="center"/>
          </w:tcPr>
          <w:p w14:paraId="56E57AF7" w14:textId="77777777" w:rsidR="006B4648" w:rsidRPr="0019773D" w:rsidRDefault="006B4648" w:rsidP="00ED48D9">
            <w:pPr>
              <w:snapToGrid w:val="0"/>
              <w:spacing w:beforeLines="40" w:before="96" w:afterLines="40" w:after="96"/>
              <w:jc w:val="both"/>
              <w:rPr>
                <w:rFonts w:ascii="Calibri" w:hAnsi="Calibri"/>
                <w:sz w:val="18"/>
                <w:szCs w:val="18"/>
                <w:lang w:val="en-IE"/>
              </w:rPr>
            </w:pPr>
            <w:r w:rsidRPr="0019773D">
              <w:rPr>
                <w:rFonts w:ascii="Calibri" w:hAnsi="Calibri"/>
                <w:sz w:val="18"/>
              </w:rPr>
              <w:t>Applicants have to submit their grant application by</w:t>
            </w:r>
            <w:r w:rsidRPr="0019773D">
              <w:rPr>
                <w:rFonts w:ascii="Calibri" w:hAnsi="Calibri"/>
                <w:b/>
                <w:sz w:val="18"/>
              </w:rPr>
              <w:t xml:space="preserve"> </w:t>
            </w:r>
            <w:r w:rsidRPr="000A330A">
              <w:rPr>
                <w:rFonts w:ascii="Calibri" w:hAnsi="Calibri"/>
                <w:b/>
                <w:sz w:val="18"/>
                <w:szCs w:val="18"/>
              </w:rPr>
              <w:t xml:space="preserve">28 February </w:t>
            </w:r>
            <w:r w:rsidRPr="000A330A">
              <w:rPr>
                <w:rFonts w:ascii="Calibri" w:hAnsi="Calibri"/>
                <w:b/>
                <w:sz w:val="18"/>
              </w:rPr>
              <w:t xml:space="preserve">at </w:t>
            </w:r>
            <w:r w:rsidRPr="000A330A">
              <w:rPr>
                <w:rFonts w:ascii="Calibri" w:hAnsi="Calibri"/>
                <w:b/>
                <w:sz w:val="18"/>
                <w:szCs w:val="18"/>
              </w:rPr>
              <w:t>12:00</w:t>
            </w:r>
            <w:r w:rsidRPr="000A330A">
              <w:rPr>
                <w:rFonts w:ascii="Calibri" w:hAnsi="Calibri"/>
                <w:b/>
                <w:sz w:val="18"/>
              </w:rPr>
              <w:t xml:space="preserve"> (midday Brussels time)</w:t>
            </w:r>
            <w:r>
              <w:rPr>
                <w:rFonts w:ascii="Calibri" w:hAnsi="Calibri"/>
                <w:b/>
                <w:sz w:val="18"/>
              </w:rPr>
              <w:t xml:space="preserve"> </w:t>
            </w:r>
            <w:r w:rsidRPr="00CD5AEF">
              <w:rPr>
                <w:rFonts w:ascii="Calibri" w:hAnsi="Calibri"/>
                <w:sz w:val="18"/>
              </w:rPr>
              <w:t>for</w:t>
            </w:r>
            <w:r w:rsidRPr="0019773D">
              <w:rPr>
                <w:rFonts w:ascii="Calibri" w:hAnsi="Calibri"/>
                <w:sz w:val="18"/>
              </w:rPr>
              <w:t xml:space="preserve"> </w:t>
            </w:r>
            <w:r>
              <w:rPr>
                <w:rFonts w:ascii="Calibri" w:hAnsi="Calibri"/>
                <w:sz w:val="18"/>
              </w:rPr>
              <w:t>alliances</w:t>
            </w:r>
            <w:r w:rsidRPr="0019773D">
              <w:rPr>
                <w:rFonts w:ascii="Calibri" w:hAnsi="Calibri"/>
                <w:sz w:val="18"/>
              </w:rPr>
              <w:t xml:space="preserve"> starting </w:t>
            </w:r>
            <w:r>
              <w:rPr>
                <w:rFonts w:ascii="Calibri" w:hAnsi="Calibri"/>
                <w:sz w:val="18"/>
              </w:rPr>
              <w:t>between</w:t>
            </w:r>
            <w:r w:rsidRPr="0019773D">
              <w:rPr>
                <w:rFonts w:ascii="Calibri" w:hAnsi="Calibri"/>
                <w:sz w:val="18"/>
              </w:rPr>
              <w:t xml:space="preserve"> </w:t>
            </w:r>
            <w:r w:rsidRPr="0019773D">
              <w:rPr>
                <w:rFonts w:ascii="Calibri" w:hAnsi="Calibri"/>
                <w:sz w:val="18"/>
                <w:szCs w:val="18"/>
              </w:rPr>
              <w:t>1</w:t>
            </w:r>
            <w:r>
              <w:rPr>
                <w:rFonts w:ascii="Calibri" w:hAnsi="Calibri"/>
                <w:sz w:val="18"/>
                <w:szCs w:val="18"/>
              </w:rPr>
              <w:t xml:space="preserve"> September and 1 December</w:t>
            </w:r>
            <w:r w:rsidRPr="0019773D">
              <w:rPr>
                <w:rFonts w:ascii="Calibri" w:hAnsi="Calibri"/>
                <w:sz w:val="18"/>
                <w:szCs w:val="18"/>
              </w:rPr>
              <w:t xml:space="preserve"> </w:t>
            </w:r>
            <w:r>
              <w:rPr>
                <w:rFonts w:ascii="Calibri" w:hAnsi="Calibri"/>
                <w:sz w:val="18"/>
                <w:szCs w:val="18"/>
              </w:rPr>
              <w:t>on the same year</w:t>
            </w:r>
            <w:r w:rsidRPr="0019773D">
              <w:rPr>
                <w:rFonts w:ascii="Calibri" w:hAnsi="Calibri"/>
                <w:sz w:val="18"/>
                <w:szCs w:val="18"/>
              </w:rPr>
              <w:t xml:space="preserve">. </w:t>
            </w:r>
            <w:r w:rsidRPr="0019773D">
              <w:rPr>
                <w:rFonts w:ascii="Calibri" w:hAnsi="Calibri"/>
                <w:sz w:val="18"/>
              </w:rPr>
              <w:t xml:space="preserve"> </w:t>
            </w:r>
          </w:p>
        </w:tc>
      </w:tr>
      <w:tr w:rsidR="006B4648" w:rsidRPr="001A605D" w14:paraId="0AC2A532" w14:textId="77777777" w:rsidTr="00ED48D9">
        <w:trPr>
          <w:cantSplit/>
        </w:trPr>
        <w:tc>
          <w:tcPr>
            <w:tcW w:w="1116" w:type="pct"/>
            <w:shd w:val="clear" w:color="auto" w:fill="FFFFFF"/>
            <w:vAlign w:val="center"/>
          </w:tcPr>
          <w:p w14:paraId="0E10686E" w14:textId="77777777" w:rsidR="006B4648" w:rsidRPr="0019773D" w:rsidRDefault="006B4648" w:rsidP="00ED48D9">
            <w:pPr>
              <w:spacing w:before="40" w:after="40"/>
              <w:rPr>
                <w:rFonts w:ascii="Calibri" w:hAnsi="Calibri"/>
                <w:b/>
                <w:sz w:val="18"/>
                <w:lang w:val="en-US"/>
              </w:rPr>
            </w:pPr>
            <w:r w:rsidRPr="0019773D">
              <w:rPr>
                <w:rFonts w:ascii="Calibri" w:hAnsi="Calibri"/>
                <w:b/>
                <w:sz w:val="18"/>
                <w:lang w:val="en-US"/>
              </w:rPr>
              <w:t>How to apply?</w:t>
            </w:r>
          </w:p>
        </w:tc>
        <w:tc>
          <w:tcPr>
            <w:tcW w:w="3884" w:type="pct"/>
            <w:shd w:val="clear" w:color="auto" w:fill="FFFFFF"/>
          </w:tcPr>
          <w:p w14:paraId="268300CE" w14:textId="77777777" w:rsidR="006B4648" w:rsidRPr="0019773D" w:rsidRDefault="006B4648" w:rsidP="00ED48D9">
            <w:pPr>
              <w:spacing w:beforeLines="40" w:before="96" w:afterLines="40" w:after="96"/>
              <w:jc w:val="both"/>
              <w:rPr>
                <w:rFonts w:ascii="Calibri" w:hAnsi="Calibri"/>
                <w:sz w:val="18"/>
              </w:rPr>
            </w:pPr>
            <w:r w:rsidRPr="0019773D">
              <w:rPr>
                <w:rFonts w:ascii="Calibri" w:hAnsi="Calibri"/>
                <w:sz w:val="18"/>
              </w:rPr>
              <w:t>Please see Part C of this Guide for details on how to apply.</w:t>
            </w:r>
          </w:p>
        </w:tc>
      </w:tr>
    </w:tbl>
    <w:p w14:paraId="68483824" w14:textId="77777777" w:rsidR="006B4648" w:rsidRPr="0019773D" w:rsidRDefault="006B4648" w:rsidP="006B4648">
      <w:pPr>
        <w:rPr>
          <w:rFonts w:ascii="Calibri" w:hAnsi="Calibri"/>
          <w:sz w:val="18"/>
        </w:rPr>
      </w:pPr>
    </w:p>
    <w:p w14:paraId="359EBA22" w14:textId="77777777" w:rsidR="006B4648" w:rsidRPr="0019773D" w:rsidRDefault="006B4648" w:rsidP="006B4648">
      <w:pPr>
        <w:pStyle w:val="Guide-Normal"/>
      </w:pPr>
      <w:r w:rsidRPr="0019773D">
        <w:t xml:space="preserve">Applicant organisations will be assessed against the relevant </w:t>
      </w:r>
      <w:r w:rsidRPr="0019773D">
        <w:rPr>
          <w:b/>
        </w:rPr>
        <w:t>exclusion and selection criteria</w:t>
      </w:r>
      <w:r w:rsidRPr="0019773D">
        <w:t xml:space="preserve">. For more information please consult Part C of this Guide. </w:t>
      </w:r>
    </w:p>
    <w:p w14:paraId="25578A43" w14:textId="77777777" w:rsidR="006B4648" w:rsidRDefault="006B4648" w:rsidP="006B4648">
      <w:pPr>
        <w:pStyle w:val="Guide-Normal"/>
      </w:pPr>
    </w:p>
    <w:p w14:paraId="2A5FF300" w14:textId="77777777" w:rsidR="006B4648" w:rsidRPr="0019773D" w:rsidRDefault="006B4648" w:rsidP="006B4648">
      <w:pPr>
        <w:pStyle w:val="Guide-Heading6"/>
      </w:pPr>
      <w:r w:rsidRPr="0019773D">
        <w:lastRenderedPageBreak/>
        <w:t xml:space="preserve">Award Criteria </w:t>
      </w:r>
      <w:r>
        <w:tab/>
      </w:r>
    </w:p>
    <w:p w14:paraId="3DFA057E" w14:textId="77777777" w:rsidR="006B4648" w:rsidRPr="0019773D" w:rsidRDefault="006B4648" w:rsidP="006B4648">
      <w:pPr>
        <w:pStyle w:val="Guide-Normal"/>
      </w:pPr>
      <w:r w:rsidRPr="0019773D">
        <w:t xml:space="preserve">The </w:t>
      </w:r>
      <w:r>
        <w:t>proposal</w:t>
      </w:r>
      <w:r w:rsidRPr="0019773D">
        <w:t xml:space="preserve"> will be assessed against the following criteria: </w:t>
      </w:r>
    </w:p>
    <w:p w14:paraId="3BB178FB" w14:textId="77777777" w:rsidR="006B4648" w:rsidRPr="0019773D" w:rsidRDefault="006B4648" w:rsidP="006B4648">
      <w:pPr>
        <w:pStyle w:val="Guide-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9"/>
        <w:gridCol w:w="6723"/>
      </w:tblGrid>
      <w:tr w:rsidR="006B4648" w:rsidRPr="008D6BF7" w14:paraId="3952F8EF" w14:textId="77777777" w:rsidTr="00ED48D9">
        <w:tc>
          <w:tcPr>
            <w:tcW w:w="2376" w:type="dxa"/>
            <w:shd w:val="clear" w:color="auto" w:fill="auto"/>
          </w:tcPr>
          <w:p w14:paraId="227B1698" w14:textId="77777777" w:rsidR="006B4648" w:rsidRPr="0019773D" w:rsidRDefault="006B4648" w:rsidP="00ED48D9">
            <w:pPr>
              <w:pStyle w:val="texte"/>
              <w:spacing w:before="0"/>
              <w:rPr>
                <w:rFonts w:ascii="Calibri" w:hAnsi="Calibri" w:cs="Tahoma"/>
                <w:b/>
                <w:color w:val="auto"/>
                <w:sz w:val="18"/>
                <w:szCs w:val="18"/>
              </w:rPr>
            </w:pPr>
            <w:r w:rsidRPr="0019773D">
              <w:rPr>
                <w:rFonts w:ascii="Calibri" w:hAnsi="Calibri" w:cs="Tahoma"/>
                <w:b/>
                <w:color w:val="auto"/>
                <w:sz w:val="18"/>
                <w:szCs w:val="18"/>
              </w:rPr>
              <w:t xml:space="preserve">Relevance of the proposal </w:t>
            </w:r>
          </w:p>
          <w:p w14:paraId="671E7DCA" w14:textId="77777777" w:rsidR="006B4648" w:rsidRPr="0019773D" w:rsidRDefault="006B4648" w:rsidP="00ED48D9">
            <w:pPr>
              <w:spacing w:after="100"/>
              <w:rPr>
                <w:rFonts w:ascii="Calibri" w:hAnsi="Calibri"/>
                <w:b/>
                <w:sz w:val="18"/>
              </w:rPr>
            </w:pPr>
            <w:r w:rsidRPr="0019773D">
              <w:rPr>
                <w:rFonts w:ascii="Calibri" w:hAnsi="Calibri"/>
                <w:b/>
                <w:sz w:val="18"/>
              </w:rPr>
              <w:t>(maximum 25 points)</w:t>
            </w:r>
          </w:p>
          <w:p w14:paraId="17CC8D8B" w14:textId="77777777" w:rsidR="006B4648" w:rsidRPr="0019773D" w:rsidRDefault="006B4648" w:rsidP="00ED48D9">
            <w:pPr>
              <w:pStyle w:val="texte"/>
              <w:spacing w:before="0"/>
              <w:ind w:left="360"/>
              <w:rPr>
                <w:rFonts w:ascii="Calibri" w:hAnsi="Calibri" w:cs="Tahoma"/>
                <w:b/>
                <w:color w:val="auto"/>
                <w:sz w:val="18"/>
                <w:szCs w:val="18"/>
              </w:rPr>
            </w:pPr>
          </w:p>
        </w:tc>
        <w:tc>
          <w:tcPr>
            <w:tcW w:w="6910" w:type="dxa"/>
            <w:shd w:val="clear" w:color="auto" w:fill="auto"/>
          </w:tcPr>
          <w:p w14:paraId="1D5EDB33" w14:textId="77777777" w:rsidR="006B4648" w:rsidRPr="00605C99"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605C99">
              <w:rPr>
                <w:rFonts w:ascii="Calibri" w:hAnsi="Calibri"/>
                <w:sz w:val="18"/>
                <w:szCs w:val="18"/>
              </w:rPr>
              <w:t>Purpose: extent to which the proposal aims to address and progress towards the long term vision of the action (please see section "What are European Universities" mentioned above and the relevant European Council conclusions of 14 December 2017</w:t>
            </w:r>
            <w:r w:rsidRPr="00605C99">
              <w:rPr>
                <w:rStyle w:val="DipnotBavurusu"/>
                <w:rFonts w:ascii="Calibri" w:hAnsi="Calibri"/>
                <w:sz w:val="18"/>
                <w:szCs w:val="18"/>
              </w:rPr>
              <w:footnoteReference w:id="8"/>
            </w:r>
            <w:r w:rsidRPr="00605C99">
              <w:rPr>
                <w:rFonts w:ascii="Calibri" w:hAnsi="Calibri"/>
                <w:sz w:val="18"/>
                <w:szCs w:val="18"/>
              </w:rPr>
              <w:t xml:space="preserve">) </w:t>
            </w:r>
          </w:p>
          <w:p w14:paraId="5B0BF4DD" w14:textId="77777777" w:rsidR="006B4648" w:rsidRPr="00605C99"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605C99">
              <w:rPr>
                <w:rFonts w:ascii="Calibri" w:hAnsi="Calibri"/>
                <w:sz w:val="18"/>
                <w:szCs w:val="18"/>
              </w:rPr>
              <w:t>Contribution to the development of the European Education Area</w:t>
            </w:r>
          </w:p>
          <w:p w14:paraId="74BDAB1B" w14:textId="77777777" w:rsidR="006B4648" w:rsidRPr="00605C99"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605C99">
              <w:rPr>
                <w:rFonts w:ascii="Calibri" w:hAnsi="Calibri"/>
                <w:sz w:val="18"/>
                <w:szCs w:val="18"/>
              </w:rPr>
              <w:t xml:space="preserve">Relevance of the joint long-term mission statement submitted by the alliance.  The mission statement needs to be explicitly endorsed by relevant decision-making bodies.  </w:t>
            </w:r>
          </w:p>
          <w:p w14:paraId="2B5A2F6F" w14:textId="77777777" w:rsidR="006B4648" w:rsidRPr="00605C99"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605C99">
              <w:rPr>
                <w:rFonts w:ascii="Calibri" w:hAnsi="Calibri"/>
                <w:sz w:val="18"/>
                <w:szCs w:val="18"/>
              </w:rPr>
              <w:t>Level of ambition and innovative approach of the proposal, including the extent to which the alliance will strengthen and expand cooperation:</w:t>
            </w:r>
          </w:p>
          <w:p w14:paraId="3DDA7C48" w14:textId="77777777" w:rsidR="006B4648" w:rsidRPr="00605C99" w:rsidRDefault="006B4648" w:rsidP="006B4648">
            <w:pPr>
              <w:pStyle w:val="ListeParagraf"/>
              <w:numPr>
                <w:ilvl w:val="0"/>
                <w:numId w:val="14"/>
              </w:numPr>
              <w:tabs>
                <w:tab w:val="left" w:pos="3435"/>
              </w:tabs>
              <w:spacing w:after="100" w:line="276" w:lineRule="auto"/>
              <w:ind w:left="600" w:hanging="283"/>
              <w:rPr>
                <w:rFonts w:ascii="Calibri" w:hAnsi="Calibri"/>
                <w:sz w:val="18"/>
                <w:szCs w:val="18"/>
              </w:rPr>
            </w:pPr>
            <w:r w:rsidRPr="00605C99">
              <w:rPr>
                <w:rFonts w:ascii="Calibri" w:hAnsi="Calibri"/>
                <w:sz w:val="18"/>
                <w:szCs w:val="18"/>
              </w:rPr>
              <w:t>in the provision of education, linking it where possible to research and innovation, as compared to what is already done by the members of the alliance.</w:t>
            </w:r>
          </w:p>
          <w:p w14:paraId="01DEB086" w14:textId="77777777" w:rsidR="006B4648" w:rsidRPr="00605C99" w:rsidRDefault="006B4648" w:rsidP="006B4648">
            <w:pPr>
              <w:pStyle w:val="ListeParagraf"/>
              <w:numPr>
                <w:ilvl w:val="0"/>
                <w:numId w:val="14"/>
              </w:numPr>
              <w:tabs>
                <w:tab w:val="left" w:pos="3435"/>
              </w:tabs>
              <w:spacing w:after="100" w:line="276" w:lineRule="auto"/>
              <w:ind w:left="600" w:hanging="283"/>
              <w:rPr>
                <w:rFonts w:ascii="Calibri" w:hAnsi="Calibri"/>
                <w:sz w:val="18"/>
                <w:szCs w:val="18"/>
              </w:rPr>
            </w:pPr>
            <w:r w:rsidRPr="00605C99">
              <w:rPr>
                <w:rFonts w:ascii="Calibri" w:hAnsi="Calibri"/>
                <w:sz w:val="18"/>
                <w:szCs w:val="18"/>
              </w:rPr>
              <w:t xml:space="preserve">through innovative and new structural models </w:t>
            </w:r>
          </w:p>
          <w:p w14:paraId="5726BA67" w14:textId="77777777" w:rsidR="006B4648" w:rsidRPr="00605C99" w:rsidRDefault="006B4648" w:rsidP="006B4648">
            <w:pPr>
              <w:pStyle w:val="ListeParagraf"/>
              <w:numPr>
                <w:ilvl w:val="0"/>
                <w:numId w:val="17"/>
              </w:numPr>
              <w:tabs>
                <w:tab w:val="left" w:pos="2988"/>
                <w:tab w:val="left" w:pos="3152"/>
              </w:tabs>
              <w:spacing w:after="100" w:line="276" w:lineRule="auto"/>
              <w:ind w:left="317" w:hanging="284"/>
              <w:rPr>
                <w:rFonts w:ascii="Calibri" w:hAnsi="Calibri"/>
                <w:sz w:val="18"/>
                <w:szCs w:val="18"/>
              </w:rPr>
            </w:pPr>
            <w:r w:rsidRPr="00605C99">
              <w:rPr>
                <w:rFonts w:ascii="Calibri" w:hAnsi="Calibri"/>
                <w:sz w:val="18"/>
                <w:szCs w:val="18"/>
              </w:rPr>
              <w:t xml:space="preserve"> European added value. Extent to which:</w:t>
            </w:r>
          </w:p>
          <w:p w14:paraId="03C9E454" w14:textId="77777777" w:rsidR="006B4648" w:rsidRPr="00605C99" w:rsidRDefault="006B4648" w:rsidP="006B4648">
            <w:pPr>
              <w:pStyle w:val="ListeParagraf"/>
              <w:numPr>
                <w:ilvl w:val="0"/>
                <w:numId w:val="14"/>
              </w:numPr>
              <w:tabs>
                <w:tab w:val="left" w:pos="3435"/>
              </w:tabs>
              <w:spacing w:after="100" w:line="276" w:lineRule="auto"/>
              <w:ind w:left="600" w:hanging="283"/>
              <w:rPr>
                <w:rFonts w:ascii="Calibri" w:hAnsi="Calibri"/>
                <w:sz w:val="18"/>
                <w:szCs w:val="18"/>
              </w:rPr>
            </w:pPr>
            <w:r w:rsidRPr="00605C99">
              <w:rPr>
                <w:rFonts w:ascii="Calibri" w:hAnsi="Calibri"/>
                <w:sz w:val="18"/>
                <w:szCs w:val="18"/>
              </w:rPr>
              <w:t xml:space="preserve">the proposal demonstrates the added value generated through its transnationality, in particular for students., </w:t>
            </w:r>
          </w:p>
          <w:p w14:paraId="73492C00" w14:textId="77777777" w:rsidR="006B4648" w:rsidRPr="00605C99" w:rsidRDefault="006B4648" w:rsidP="006B4648">
            <w:pPr>
              <w:pStyle w:val="ListeParagraf"/>
              <w:numPr>
                <w:ilvl w:val="0"/>
                <w:numId w:val="14"/>
              </w:numPr>
              <w:tabs>
                <w:tab w:val="left" w:pos="3435"/>
              </w:tabs>
              <w:spacing w:after="100" w:line="276" w:lineRule="auto"/>
              <w:ind w:left="600" w:hanging="283"/>
              <w:rPr>
                <w:rFonts w:ascii="Calibri" w:hAnsi="Calibri"/>
                <w:sz w:val="18"/>
                <w:szCs w:val="18"/>
              </w:rPr>
            </w:pPr>
            <w:r w:rsidRPr="00605C99">
              <w:rPr>
                <w:rFonts w:ascii="Calibri" w:hAnsi="Calibri"/>
                <w:sz w:val="18"/>
                <w:szCs w:val="18"/>
              </w:rPr>
              <w:t>the proposal demonstrates contribution to regional development, for example through the involvement of the alliance's members in the development and implementation of Smart Specialisation Strategies</w:t>
            </w:r>
          </w:p>
          <w:p w14:paraId="5929F2C3" w14:textId="77777777" w:rsidR="006B4648" w:rsidRPr="00605C99" w:rsidRDefault="006B4648" w:rsidP="006B4648">
            <w:pPr>
              <w:pStyle w:val="ListeParagraf"/>
              <w:numPr>
                <w:ilvl w:val="0"/>
                <w:numId w:val="14"/>
              </w:numPr>
              <w:tabs>
                <w:tab w:val="left" w:pos="3435"/>
              </w:tabs>
              <w:spacing w:after="100" w:line="276" w:lineRule="auto"/>
              <w:ind w:left="600" w:hanging="283"/>
              <w:rPr>
                <w:rFonts w:ascii="Calibri" w:hAnsi="Calibri"/>
                <w:sz w:val="18"/>
                <w:szCs w:val="18"/>
              </w:rPr>
            </w:pPr>
            <w:r w:rsidRPr="00605C99">
              <w:rPr>
                <w:rFonts w:ascii="Calibri" w:hAnsi="Calibri"/>
                <w:sz w:val="18"/>
                <w:szCs w:val="18"/>
              </w:rPr>
              <w:t xml:space="preserve">the alliance will benefit </w:t>
            </w:r>
            <w:r>
              <w:rPr>
                <w:rFonts w:ascii="Calibri" w:hAnsi="Calibri"/>
                <w:sz w:val="18"/>
                <w:szCs w:val="18"/>
              </w:rPr>
              <w:t xml:space="preserve">other </w:t>
            </w:r>
            <w:r w:rsidRPr="00605C99">
              <w:rPr>
                <w:rFonts w:ascii="Calibri" w:hAnsi="Calibri"/>
                <w:sz w:val="18"/>
                <w:szCs w:val="18"/>
              </w:rPr>
              <w:t>higher education institutions</w:t>
            </w:r>
            <w:r>
              <w:rPr>
                <w:rFonts w:ascii="Calibri" w:hAnsi="Calibri"/>
                <w:sz w:val="18"/>
                <w:szCs w:val="18"/>
              </w:rPr>
              <w:t>, mainly of the European Union, but also beyond, by driving excellence.</w:t>
            </w:r>
            <w:r w:rsidRPr="00605C99">
              <w:rPr>
                <w:rFonts w:ascii="Calibri" w:hAnsi="Calibri"/>
                <w:sz w:val="18"/>
                <w:szCs w:val="18"/>
              </w:rPr>
              <w:t xml:space="preserve"> </w:t>
            </w:r>
          </w:p>
        </w:tc>
      </w:tr>
      <w:tr w:rsidR="006B4648" w:rsidRPr="001A605D" w14:paraId="42148A74" w14:textId="77777777" w:rsidTr="00ED48D9">
        <w:tc>
          <w:tcPr>
            <w:tcW w:w="2376" w:type="dxa"/>
            <w:shd w:val="clear" w:color="auto" w:fill="auto"/>
          </w:tcPr>
          <w:p w14:paraId="3F24B759" w14:textId="77777777" w:rsidR="006B4648" w:rsidRPr="0019773D" w:rsidRDefault="006B4648" w:rsidP="00ED48D9">
            <w:pPr>
              <w:pStyle w:val="texte"/>
              <w:keepLines/>
              <w:spacing w:before="0"/>
              <w:rPr>
                <w:rFonts w:ascii="Calibri" w:hAnsi="Calibri" w:cs="Tahoma"/>
                <w:b/>
                <w:color w:val="auto"/>
                <w:sz w:val="18"/>
                <w:szCs w:val="18"/>
              </w:rPr>
            </w:pPr>
            <w:r>
              <w:rPr>
                <w:rFonts w:ascii="Calibri" w:hAnsi="Calibri" w:cs="Tahoma"/>
                <w:b/>
                <w:color w:val="auto"/>
                <w:sz w:val="18"/>
                <w:szCs w:val="18"/>
              </w:rPr>
              <w:t>Geographical balance (maximum 15 points)</w:t>
            </w:r>
          </w:p>
        </w:tc>
        <w:tc>
          <w:tcPr>
            <w:tcW w:w="6910" w:type="dxa"/>
            <w:shd w:val="clear" w:color="auto" w:fill="auto"/>
          </w:tcPr>
          <w:p w14:paraId="7E9AB8F4" w14:textId="77777777" w:rsidR="006B4648" w:rsidRPr="00605C99" w:rsidRDefault="006B4648" w:rsidP="006B4648">
            <w:pPr>
              <w:pStyle w:val="ListeParagraf"/>
              <w:numPr>
                <w:ilvl w:val="0"/>
                <w:numId w:val="21"/>
              </w:numPr>
              <w:tabs>
                <w:tab w:val="left" w:pos="3294"/>
              </w:tabs>
              <w:spacing w:after="100" w:line="276" w:lineRule="auto"/>
              <w:rPr>
                <w:rFonts w:ascii="Calibri" w:hAnsi="Calibri"/>
                <w:sz w:val="18"/>
                <w:szCs w:val="18"/>
              </w:rPr>
            </w:pPr>
            <w:r w:rsidRPr="00605C99">
              <w:rPr>
                <w:rFonts w:ascii="Calibri" w:hAnsi="Calibri"/>
                <w:sz w:val="18"/>
                <w:szCs w:val="18"/>
              </w:rPr>
              <w:t>The extent to which the alliance includes a high number of higher education institutions from different geographical areas</w:t>
            </w:r>
            <w:r w:rsidRPr="00605C99">
              <w:rPr>
                <w:rFonts w:asciiTheme="minorHAnsi" w:hAnsiTheme="minorHAnsi" w:cstheme="minorHAnsi"/>
                <w:sz w:val="18"/>
                <w:szCs w:val="18"/>
                <w:vertAlign w:val="superscript"/>
              </w:rPr>
              <w:footnoteReference w:id="9"/>
            </w:r>
            <w:r w:rsidRPr="00605C99">
              <w:rPr>
                <w:rFonts w:ascii="Calibri" w:hAnsi="Calibri"/>
                <w:sz w:val="18"/>
                <w:szCs w:val="18"/>
              </w:rPr>
              <w:t xml:space="preserve">  and ensures a wide geographical coverage </w:t>
            </w:r>
            <w:r w:rsidRPr="00114E9D">
              <w:rPr>
                <w:rFonts w:ascii="Calibri" w:hAnsi="Calibri"/>
                <w:sz w:val="18"/>
                <w:szCs w:val="18"/>
              </w:rPr>
              <w:t>in line with the European Council Conclusions</w:t>
            </w:r>
            <w:r w:rsidRPr="00605C99">
              <w:rPr>
                <w:rStyle w:val="DipnotBavurusu"/>
                <w:rFonts w:ascii="Calibri" w:hAnsi="Calibri"/>
                <w:sz w:val="18"/>
                <w:szCs w:val="18"/>
              </w:rPr>
              <w:footnoteReference w:id="10"/>
            </w:r>
            <w:r w:rsidRPr="00605C99">
              <w:rPr>
                <w:rFonts w:ascii="Calibri" w:hAnsi="Calibri"/>
                <w:sz w:val="18"/>
                <w:szCs w:val="18"/>
              </w:rPr>
              <w:t xml:space="preserve">. </w:t>
            </w:r>
          </w:p>
          <w:p w14:paraId="10B670DD" w14:textId="77777777" w:rsidR="006B4648" w:rsidRPr="00605C99" w:rsidRDefault="006B4648" w:rsidP="006B4648">
            <w:pPr>
              <w:pStyle w:val="ListeParagraf"/>
              <w:numPr>
                <w:ilvl w:val="0"/>
                <w:numId w:val="21"/>
              </w:numPr>
              <w:tabs>
                <w:tab w:val="left" w:pos="3294"/>
              </w:tabs>
              <w:spacing w:after="100" w:line="276" w:lineRule="auto"/>
              <w:rPr>
                <w:rFonts w:ascii="Calibri" w:hAnsi="Calibri"/>
                <w:sz w:val="18"/>
                <w:szCs w:val="18"/>
              </w:rPr>
            </w:pPr>
            <w:r w:rsidRPr="00605C99">
              <w:rPr>
                <w:rFonts w:ascii="Calibri" w:hAnsi="Calibri"/>
                <w:sz w:val="18"/>
                <w:szCs w:val="18"/>
              </w:rPr>
              <w:t xml:space="preserve">The extent to which the applicant has motivated the geographical composition of the alliance and demonstrated its relevance to the achievement of </w:t>
            </w:r>
            <w:r>
              <w:rPr>
                <w:rFonts w:ascii="Calibri" w:hAnsi="Calibri"/>
                <w:sz w:val="18"/>
                <w:szCs w:val="18"/>
              </w:rPr>
              <w:t xml:space="preserve">the objectives of the </w:t>
            </w:r>
            <w:r w:rsidRPr="00605C99">
              <w:rPr>
                <w:rFonts w:ascii="Calibri" w:hAnsi="Calibri"/>
                <w:sz w:val="18"/>
                <w:szCs w:val="18"/>
              </w:rPr>
              <w:t>European universities</w:t>
            </w:r>
            <w:r>
              <w:rPr>
                <w:rFonts w:ascii="Calibri" w:hAnsi="Calibri"/>
                <w:sz w:val="18"/>
                <w:szCs w:val="18"/>
              </w:rPr>
              <w:t xml:space="preserve"> and of the European Education Area.</w:t>
            </w:r>
          </w:p>
        </w:tc>
      </w:tr>
      <w:tr w:rsidR="006B4648" w:rsidRPr="001A605D" w14:paraId="600A7C85" w14:textId="77777777" w:rsidTr="00ED48D9">
        <w:tc>
          <w:tcPr>
            <w:tcW w:w="2376" w:type="dxa"/>
            <w:shd w:val="clear" w:color="auto" w:fill="auto"/>
          </w:tcPr>
          <w:p w14:paraId="29105883" w14:textId="77777777" w:rsidR="006B4648" w:rsidRPr="0019773D" w:rsidRDefault="006B4648" w:rsidP="00ED48D9">
            <w:pPr>
              <w:pStyle w:val="texte"/>
              <w:keepLines/>
              <w:spacing w:before="0"/>
              <w:rPr>
                <w:rFonts w:ascii="Calibri" w:hAnsi="Calibri" w:cs="Tahoma"/>
                <w:b/>
                <w:color w:val="auto"/>
                <w:sz w:val="18"/>
                <w:szCs w:val="18"/>
              </w:rPr>
            </w:pPr>
            <w:r w:rsidRPr="0019773D">
              <w:rPr>
                <w:rFonts w:ascii="Calibri" w:hAnsi="Calibri" w:cs="Tahoma"/>
                <w:b/>
                <w:color w:val="auto"/>
                <w:sz w:val="18"/>
                <w:szCs w:val="18"/>
              </w:rPr>
              <w:t xml:space="preserve">Quality of the </w:t>
            </w:r>
            <w:r>
              <w:rPr>
                <w:rFonts w:ascii="Calibri" w:hAnsi="Calibri" w:cs="Tahoma"/>
                <w:b/>
                <w:color w:val="auto"/>
                <w:sz w:val="18"/>
                <w:szCs w:val="18"/>
              </w:rPr>
              <w:t>proposal</w:t>
            </w:r>
            <w:r w:rsidRPr="0019773D">
              <w:rPr>
                <w:rFonts w:ascii="Calibri" w:hAnsi="Calibri" w:cs="Tahoma"/>
                <w:b/>
                <w:color w:val="auto"/>
                <w:sz w:val="18"/>
                <w:szCs w:val="18"/>
              </w:rPr>
              <w:t xml:space="preserve"> and implementation </w:t>
            </w:r>
            <w:r w:rsidRPr="0019773D">
              <w:rPr>
                <w:rFonts w:ascii="Calibri" w:hAnsi="Calibri" w:cs="Tahoma"/>
                <w:b/>
                <w:color w:val="auto"/>
                <w:sz w:val="18"/>
                <w:szCs w:val="18"/>
              </w:rPr>
              <w:br/>
              <w:t>(maximum 2</w:t>
            </w:r>
            <w:r>
              <w:rPr>
                <w:rFonts w:ascii="Calibri" w:hAnsi="Calibri" w:cs="Tahoma"/>
                <w:b/>
                <w:color w:val="auto"/>
                <w:sz w:val="18"/>
                <w:szCs w:val="18"/>
              </w:rPr>
              <w:t>0</w:t>
            </w:r>
            <w:r w:rsidRPr="0019773D">
              <w:rPr>
                <w:rFonts w:ascii="Calibri" w:hAnsi="Calibri" w:cs="Tahoma"/>
                <w:b/>
                <w:color w:val="auto"/>
                <w:sz w:val="18"/>
                <w:szCs w:val="18"/>
              </w:rPr>
              <w:t xml:space="preserve"> points)</w:t>
            </w:r>
          </w:p>
          <w:p w14:paraId="7320614B" w14:textId="77777777" w:rsidR="006B4648" w:rsidRPr="0019773D" w:rsidRDefault="006B4648" w:rsidP="00ED48D9">
            <w:pPr>
              <w:pStyle w:val="texte"/>
              <w:spacing w:before="0"/>
              <w:rPr>
                <w:rFonts w:ascii="Calibri" w:hAnsi="Calibri" w:cs="Tahoma"/>
                <w:b/>
                <w:color w:val="auto"/>
                <w:sz w:val="18"/>
                <w:szCs w:val="18"/>
              </w:rPr>
            </w:pPr>
          </w:p>
        </w:tc>
        <w:tc>
          <w:tcPr>
            <w:tcW w:w="6910" w:type="dxa"/>
            <w:shd w:val="clear" w:color="auto" w:fill="auto"/>
          </w:tcPr>
          <w:p w14:paraId="3C4173EE" w14:textId="77777777" w:rsidR="006B4648"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F95EFF">
              <w:rPr>
                <w:rFonts w:ascii="Calibri" w:hAnsi="Calibri"/>
                <w:sz w:val="18"/>
                <w:szCs w:val="18"/>
              </w:rPr>
              <w:t xml:space="preserve">Consistency between the aims of the proposal and </w:t>
            </w:r>
            <w:r>
              <w:rPr>
                <w:rFonts w:ascii="Calibri" w:hAnsi="Calibri"/>
                <w:sz w:val="18"/>
                <w:szCs w:val="18"/>
              </w:rPr>
              <w:t xml:space="preserve">joint </w:t>
            </w:r>
            <w:r w:rsidRPr="00F95EFF">
              <w:rPr>
                <w:rFonts w:ascii="Calibri" w:hAnsi="Calibri"/>
                <w:sz w:val="18"/>
                <w:szCs w:val="18"/>
              </w:rPr>
              <w:t>planned activities to achieve them</w:t>
            </w:r>
          </w:p>
          <w:p w14:paraId="36094AB4" w14:textId="77777777" w:rsidR="006B4648" w:rsidRPr="00F95EFF"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Pr>
                <w:rFonts w:ascii="Calibri" w:hAnsi="Calibri"/>
                <w:sz w:val="18"/>
                <w:szCs w:val="18"/>
              </w:rPr>
              <w:t>Commitments to work towards the policy objectives of the European Education Area</w:t>
            </w:r>
          </w:p>
          <w:p w14:paraId="1D839BAE" w14:textId="77777777" w:rsidR="006B4648" w:rsidRPr="00F95EFF"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F95EFF">
              <w:rPr>
                <w:rFonts w:ascii="Calibri" w:hAnsi="Calibri"/>
                <w:sz w:val="18"/>
                <w:szCs w:val="18"/>
              </w:rPr>
              <w:t>Extent to which the proposal demonstrates how the development of a joint strategy and joint planned activities will match the level of ambition of European Universities and how it will contribute efficiently to strengthening and enhancing:</w:t>
            </w:r>
          </w:p>
          <w:p w14:paraId="5CF83634" w14:textId="77777777" w:rsidR="006B4648" w:rsidRPr="00F95EFF" w:rsidRDefault="006B4648" w:rsidP="006B4648">
            <w:pPr>
              <w:pStyle w:val="ListeParagraf"/>
              <w:numPr>
                <w:ilvl w:val="0"/>
                <w:numId w:val="16"/>
              </w:numPr>
              <w:tabs>
                <w:tab w:val="left" w:pos="3294"/>
              </w:tabs>
              <w:spacing w:after="100" w:line="276" w:lineRule="auto"/>
              <w:rPr>
                <w:rFonts w:ascii="Calibri" w:hAnsi="Calibri"/>
                <w:sz w:val="18"/>
                <w:szCs w:val="18"/>
              </w:rPr>
            </w:pPr>
            <w:r w:rsidRPr="00F95EFF">
              <w:rPr>
                <w:rFonts w:ascii="Calibri" w:hAnsi="Calibri"/>
                <w:sz w:val="18"/>
                <w:szCs w:val="18"/>
              </w:rPr>
              <w:t xml:space="preserve">High quality of education, including through innovative pedagogical models to develop forward-looking skills and competences, making best use of digital technologies, blended learning and work-based learning </w:t>
            </w:r>
          </w:p>
          <w:p w14:paraId="39445A7C" w14:textId="77777777" w:rsidR="006B4648" w:rsidRPr="00F95EFF" w:rsidRDefault="006B4648" w:rsidP="006B4648">
            <w:pPr>
              <w:pStyle w:val="ListeParagraf"/>
              <w:numPr>
                <w:ilvl w:val="0"/>
                <w:numId w:val="16"/>
              </w:numPr>
              <w:tabs>
                <w:tab w:val="left" w:pos="3294"/>
              </w:tabs>
              <w:spacing w:after="100" w:line="276" w:lineRule="auto"/>
              <w:rPr>
                <w:rFonts w:ascii="Calibri" w:hAnsi="Calibri"/>
                <w:sz w:val="18"/>
                <w:szCs w:val="18"/>
              </w:rPr>
            </w:pPr>
            <w:r w:rsidRPr="00F95EFF">
              <w:rPr>
                <w:rFonts w:ascii="Calibri" w:hAnsi="Calibri"/>
                <w:sz w:val="18"/>
                <w:szCs w:val="18"/>
              </w:rPr>
              <w:t>Level of students, staff and researchers’ mobility</w:t>
            </w:r>
          </w:p>
          <w:p w14:paraId="0E50089D" w14:textId="77777777" w:rsidR="006B4648" w:rsidRPr="00F95EFF" w:rsidRDefault="006B4648" w:rsidP="006B4648">
            <w:pPr>
              <w:pStyle w:val="ListeParagraf"/>
              <w:numPr>
                <w:ilvl w:val="0"/>
                <w:numId w:val="16"/>
              </w:numPr>
              <w:tabs>
                <w:tab w:val="left" w:pos="3294"/>
              </w:tabs>
              <w:spacing w:after="100" w:line="276" w:lineRule="auto"/>
              <w:rPr>
                <w:rFonts w:ascii="Calibri" w:hAnsi="Calibri"/>
                <w:sz w:val="18"/>
                <w:szCs w:val="18"/>
              </w:rPr>
            </w:pPr>
            <w:r>
              <w:rPr>
                <w:rFonts w:ascii="Calibri" w:hAnsi="Calibri"/>
                <w:sz w:val="18"/>
                <w:szCs w:val="18"/>
              </w:rPr>
              <w:t>Where possible, t</w:t>
            </w:r>
            <w:r w:rsidRPr="00F95EFF">
              <w:rPr>
                <w:rFonts w:ascii="Calibri" w:hAnsi="Calibri"/>
                <w:sz w:val="18"/>
                <w:szCs w:val="18"/>
              </w:rPr>
              <w:t>he links between education and research and innovation, including how research results an</w:t>
            </w:r>
            <w:r>
              <w:rPr>
                <w:rFonts w:ascii="Calibri" w:hAnsi="Calibri"/>
                <w:sz w:val="18"/>
                <w:szCs w:val="18"/>
              </w:rPr>
              <w:t>d</w:t>
            </w:r>
            <w:r w:rsidRPr="00F95EFF">
              <w:rPr>
                <w:rFonts w:ascii="Calibri" w:hAnsi="Calibri"/>
                <w:sz w:val="18"/>
                <w:szCs w:val="18"/>
              </w:rPr>
              <w:t xml:space="preserve"> innovation will feed back into education</w:t>
            </w:r>
          </w:p>
          <w:p w14:paraId="2F67200A" w14:textId="77777777" w:rsidR="006B4648" w:rsidRPr="00F95EFF" w:rsidRDefault="006B4648" w:rsidP="006B4648">
            <w:pPr>
              <w:pStyle w:val="ListeParagraf"/>
              <w:numPr>
                <w:ilvl w:val="0"/>
                <w:numId w:val="16"/>
              </w:numPr>
              <w:tabs>
                <w:tab w:val="left" w:pos="3294"/>
              </w:tabs>
              <w:spacing w:after="100" w:line="276" w:lineRule="auto"/>
              <w:rPr>
                <w:rFonts w:ascii="Calibri" w:hAnsi="Calibri"/>
                <w:sz w:val="18"/>
                <w:szCs w:val="18"/>
              </w:rPr>
            </w:pPr>
            <w:r w:rsidRPr="00F95EFF">
              <w:rPr>
                <w:rFonts w:ascii="Calibri" w:hAnsi="Calibri"/>
                <w:sz w:val="18"/>
                <w:szCs w:val="18"/>
              </w:rPr>
              <w:t>The level of engagement with key stakeholders to foster societal engagement of students and staff as well as their entrepreneurial key competences</w:t>
            </w:r>
          </w:p>
          <w:p w14:paraId="2244F188" w14:textId="77777777" w:rsidR="006B4648" w:rsidRPr="00F95EFF" w:rsidRDefault="006B4648" w:rsidP="006B4648">
            <w:pPr>
              <w:pStyle w:val="ListeParagraf"/>
              <w:numPr>
                <w:ilvl w:val="0"/>
                <w:numId w:val="16"/>
              </w:numPr>
              <w:tabs>
                <w:tab w:val="left" w:pos="3294"/>
              </w:tabs>
              <w:spacing w:after="100" w:line="276" w:lineRule="auto"/>
              <w:rPr>
                <w:rFonts w:ascii="Calibri" w:hAnsi="Calibri"/>
                <w:sz w:val="18"/>
                <w:szCs w:val="18"/>
              </w:rPr>
            </w:pPr>
            <w:r w:rsidRPr="00F95EFF">
              <w:rPr>
                <w:rFonts w:ascii="Calibri" w:hAnsi="Calibri"/>
                <w:sz w:val="18"/>
                <w:szCs w:val="18"/>
              </w:rPr>
              <w:t xml:space="preserve">Involvement of the local community </w:t>
            </w:r>
          </w:p>
          <w:p w14:paraId="49F2B656" w14:textId="77777777" w:rsidR="006B4648" w:rsidRPr="00F95EFF" w:rsidRDefault="006B4648" w:rsidP="006B4648">
            <w:pPr>
              <w:pStyle w:val="ListeParagraf"/>
              <w:numPr>
                <w:ilvl w:val="0"/>
                <w:numId w:val="20"/>
              </w:numPr>
              <w:tabs>
                <w:tab w:val="left" w:pos="3294"/>
              </w:tabs>
              <w:spacing w:after="100" w:line="276" w:lineRule="auto"/>
              <w:rPr>
                <w:rFonts w:ascii="Calibri" w:hAnsi="Calibri"/>
                <w:sz w:val="18"/>
                <w:szCs w:val="18"/>
              </w:rPr>
            </w:pPr>
            <w:r w:rsidRPr="00F95EFF">
              <w:rPr>
                <w:rFonts w:ascii="Calibri" w:hAnsi="Calibri"/>
                <w:sz w:val="18"/>
                <w:szCs w:val="18"/>
              </w:rPr>
              <w:t>The social diversity of the student body and supporting measures to promote the access, participation and completion of under-represented and disadvantaged groups</w:t>
            </w:r>
          </w:p>
          <w:p w14:paraId="7F49E977" w14:textId="77777777" w:rsidR="006B4648" w:rsidRPr="00F95EFF"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F95EFF">
              <w:rPr>
                <w:rFonts w:ascii="Calibri" w:hAnsi="Calibri"/>
                <w:sz w:val="18"/>
                <w:szCs w:val="18"/>
              </w:rPr>
              <w:lastRenderedPageBreak/>
              <w:t xml:space="preserve">The work programme and roadmap is clear and explicit, it covers the different stages and describes well the expected progress, output and outcomes between the different phases. </w:t>
            </w:r>
          </w:p>
          <w:p w14:paraId="518E6D78" w14:textId="77777777" w:rsidR="006B4648" w:rsidRPr="00F95EFF"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F95EFF">
              <w:rPr>
                <w:rFonts w:ascii="Calibri" w:hAnsi="Calibri"/>
                <w:sz w:val="18"/>
                <w:szCs w:val="18"/>
              </w:rPr>
              <w:t>Quality and financial settings: the alliance has set up a quality assessment and review</w:t>
            </w:r>
            <w:r>
              <w:rPr>
                <w:rFonts w:ascii="Calibri" w:hAnsi="Calibri"/>
                <w:sz w:val="18"/>
                <w:szCs w:val="18"/>
              </w:rPr>
              <w:t>,</w:t>
            </w:r>
            <w:r w:rsidRPr="00F95EFF">
              <w:rPr>
                <w:rFonts w:ascii="Calibri" w:hAnsi="Calibri"/>
                <w:sz w:val="18"/>
                <w:szCs w:val="18"/>
              </w:rPr>
              <w:t xml:space="preserve"> which includes specific measures for evaluation of progress, processes and deliverables (for instance through the development of suitable quantitative and qualitative indicators</w:t>
            </w:r>
            <w:r>
              <w:rPr>
                <w:rFonts w:ascii="Calibri" w:hAnsi="Calibri"/>
                <w:sz w:val="18"/>
                <w:szCs w:val="18"/>
              </w:rPr>
              <w:t>,</w:t>
            </w:r>
            <w:r w:rsidRPr="00F95EFF">
              <w:rPr>
                <w:rFonts w:ascii="Calibri" w:hAnsi="Calibri"/>
                <w:sz w:val="18"/>
                <w:szCs w:val="18"/>
              </w:rPr>
              <w:t xml:space="preserve"> </w:t>
            </w:r>
            <w:r>
              <w:rPr>
                <w:rFonts w:ascii="Calibri" w:hAnsi="Calibri"/>
                <w:sz w:val="18"/>
                <w:szCs w:val="18"/>
              </w:rPr>
              <w:t>including</w:t>
            </w:r>
            <w:r w:rsidRPr="00F95EFF">
              <w:rPr>
                <w:rFonts w:ascii="Calibri" w:hAnsi="Calibri"/>
                <w:sz w:val="18"/>
                <w:szCs w:val="18"/>
              </w:rPr>
              <w:t xml:space="preserve"> </w:t>
            </w:r>
            <w:r>
              <w:rPr>
                <w:rFonts w:ascii="Calibri" w:hAnsi="Calibri"/>
                <w:sz w:val="18"/>
                <w:szCs w:val="18"/>
              </w:rPr>
              <w:t>the feedback from students and staff</w:t>
            </w:r>
            <w:r w:rsidRPr="00F95EFF">
              <w:rPr>
                <w:rFonts w:ascii="Calibri" w:hAnsi="Calibri"/>
                <w:sz w:val="18"/>
                <w:szCs w:val="18"/>
              </w:rPr>
              <w:t>). The quality monitoring should also ensure that the implementation of the alliance is cost-efficient.</w:t>
            </w:r>
          </w:p>
        </w:tc>
      </w:tr>
      <w:tr w:rsidR="006B4648" w:rsidRPr="001A605D" w14:paraId="0C3EBD79" w14:textId="77777777" w:rsidTr="00ED48D9">
        <w:tc>
          <w:tcPr>
            <w:tcW w:w="2376" w:type="dxa"/>
            <w:shd w:val="clear" w:color="auto" w:fill="auto"/>
          </w:tcPr>
          <w:p w14:paraId="0D57D1B0" w14:textId="77777777" w:rsidR="006B4648" w:rsidRPr="0019773D" w:rsidRDefault="006B4648" w:rsidP="00ED48D9">
            <w:pPr>
              <w:pStyle w:val="texte"/>
              <w:spacing w:before="0"/>
              <w:rPr>
                <w:rFonts w:ascii="Calibri" w:hAnsi="Calibri" w:cs="Tahoma"/>
                <w:b/>
                <w:color w:val="auto"/>
                <w:sz w:val="18"/>
                <w:szCs w:val="18"/>
              </w:rPr>
            </w:pPr>
            <w:r w:rsidRPr="0019773D">
              <w:rPr>
                <w:rFonts w:ascii="Calibri" w:hAnsi="Calibri" w:cs="Tahoma"/>
                <w:b/>
                <w:color w:val="auto"/>
                <w:sz w:val="18"/>
                <w:szCs w:val="18"/>
              </w:rPr>
              <w:lastRenderedPageBreak/>
              <w:t xml:space="preserve">Quality of the </w:t>
            </w:r>
            <w:r>
              <w:rPr>
                <w:rFonts w:ascii="Calibri" w:hAnsi="Calibri" w:cs="Tahoma"/>
                <w:b/>
                <w:color w:val="auto"/>
                <w:sz w:val="18"/>
                <w:szCs w:val="18"/>
              </w:rPr>
              <w:t>alliance</w:t>
            </w:r>
            <w:r w:rsidRPr="0019773D">
              <w:rPr>
                <w:rFonts w:ascii="Calibri" w:hAnsi="Calibri" w:cs="Tahoma"/>
                <w:b/>
                <w:color w:val="auto"/>
                <w:sz w:val="18"/>
                <w:szCs w:val="18"/>
              </w:rPr>
              <w:t xml:space="preserve"> cooperation arrangements </w:t>
            </w:r>
          </w:p>
          <w:p w14:paraId="7D13F878" w14:textId="77777777" w:rsidR="006B4648" w:rsidRPr="0019773D" w:rsidRDefault="006B4648" w:rsidP="00ED48D9">
            <w:pPr>
              <w:spacing w:after="100"/>
              <w:rPr>
                <w:rFonts w:ascii="Calibri" w:hAnsi="Calibri"/>
              </w:rPr>
            </w:pPr>
            <w:r w:rsidRPr="0019773D">
              <w:rPr>
                <w:rFonts w:ascii="Calibri" w:hAnsi="Calibri"/>
                <w:b/>
                <w:sz w:val="18"/>
              </w:rPr>
              <w:t xml:space="preserve">(maximum </w:t>
            </w:r>
            <w:r>
              <w:rPr>
                <w:rFonts w:ascii="Calibri" w:hAnsi="Calibri"/>
                <w:b/>
                <w:sz w:val="18"/>
              </w:rPr>
              <w:t>2</w:t>
            </w:r>
            <w:r w:rsidRPr="0019773D">
              <w:rPr>
                <w:rFonts w:ascii="Calibri" w:hAnsi="Calibri"/>
                <w:b/>
                <w:sz w:val="18"/>
              </w:rPr>
              <w:t>0 points)</w:t>
            </w:r>
          </w:p>
        </w:tc>
        <w:tc>
          <w:tcPr>
            <w:tcW w:w="6910" w:type="dxa"/>
            <w:shd w:val="clear" w:color="auto" w:fill="auto"/>
          </w:tcPr>
          <w:p w14:paraId="023001E4" w14:textId="77777777" w:rsidR="006B4648" w:rsidRPr="000A056F"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0A056F">
              <w:rPr>
                <w:rFonts w:ascii="Calibri" w:hAnsi="Calibri"/>
                <w:sz w:val="18"/>
                <w:szCs w:val="18"/>
              </w:rPr>
              <w:t>Arrangement structure: the distribution of responsibilities and tasks is clear and appropriate, demonstrates the financial, structural and organisational commitment at highest institutional level while giving all staff the opportunity to be part of the co-creation of the alliance, both through the provision of education</w:t>
            </w:r>
            <w:r>
              <w:rPr>
                <w:rFonts w:ascii="Calibri" w:hAnsi="Calibri"/>
                <w:sz w:val="18"/>
                <w:szCs w:val="18"/>
              </w:rPr>
              <w:t xml:space="preserve"> and, where possible, </w:t>
            </w:r>
            <w:r w:rsidRPr="000A056F">
              <w:rPr>
                <w:rFonts w:ascii="Calibri" w:hAnsi="Calibri"/>
                <w:sz w:val="18"/>
                <w:szCs w:val="18"/>
              </w:rPr>
              <w:t xml:space="preserve">research and innovation, and at a structural organisation level through shared management structures, common provision of services, databases, human resources and scientific infrastructure. </w:t>
            </w:r>
          </w:p>
          <w:p w14:paraId="06C549B2" w14:textId="77777777" w:rsidR="006B4648"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0A056F">
              <w:rPr>
                <w:rFonts w:ascii="Calibri" w:hAnsi="Calibri"/>
                <w:sz w:val="18"/>
                <w:szCs w:val="18"/>
              </w:rPr>
              <w:t>Roles and responsibilities: the capacity and active role of each member of the alliance to deliver jointly the common vision, strategy and common activities is clearly demonstrated.</w:t>
            </w:r>
          </w:p>
          <w:p w14:paraId="59A8D82E" w14:textId="77777777" w:rsidR="006B4648" w:rsidRPr="000A056F"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0A056F">
              <w:rPr>
                <w:rFonts w:ascii="Calibri" w:hAnsi="Calibri"/>
                <w:sz w:val="18"/>
                <w:szCs w:val="18"/>
              </w:rPr>
              <w:t xml:space="preserve">Complementarity: </w:t>
            </w:r>
            <w:r>
              <w:rPr>
                <w:rFonts w:ascii="Calibri" w:hAnsi="Calibri"/>
                <w:sz w:val="18"/>
                <w:szCs w:val="18"/>
              </w:rPr>
              <w:t xml:space="preserve">the </w:t>
            </w:r>
            <w:r w:rsidRPr="000A056F">
              <w:rPr>
                <w:rFonts w:ascii="Calibri" w:hAnsi="Calibri"/>
                <w:sz w:val="18"/>
                <w:szCs w:val="18"/>
              </w:rPr>
              <w:t xml:space="preserve">extent to which partners complement each other, including in terms of diversity of types of HEIs, or show that they are collaborating with each other to obtain value added and cost efficiency.  </w:t>
            </w:r>
          </w:p>
          <w:p w14:paraId="3D7A351E" w14:textId="77777777" w:rsidR="006B4648" w:rsidRPr="000A056F"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0A056F">
              <w:rPr>
                <w:rFonts w:ascii="Calibri" w:hAnsi="Calibri"/>
                <w:sz w:val="18"/>
                <w:szCs w:val="18"/>
              </w:rPr>
              <w:t xml:space="preserve">The cooperation arrangements are well designed to maximise the benefits of the integrated cooperation by reducing existing administrative barriers and obstacles and to promote all types of mobility within the alliance, including mobility to and from organisations other than </w:t>
            </w:r>
            <w:r>
              <w:rPr>
                <w:rFonts w:ascii="Calibri" w:hAnsi="Calibri"/>
                <w:sz w:val="18"/>
                <w:szCs w:val="18"/>
              </w:rPr>
              <w:t>h</w:t>
            </w:r>
            <w:r w:rsidRPr="000A056F">
              <w:rPr>
                <w:rFonts w:ascii="Calibri" w:hAnsi="Calibri"/>
                <w:sz w:val="18"/>
                <w:szCs w:val="18"/>
              </w:rPr>
              <w:t xml:space="preserve">igher </w:t>
            </w:r>
            <w:r>
              <w:rPr>
                <w:rFonts w:ascii="Calibri" w:hAnsi="Calibri"/>
                <w:sz w:val="18"/>
                <w:szCs w:val="18"/>
              </w:rPr>
              <w:t>e</w:t>
            </w:r>
            <w:r w:rsidRPr="000A056F">
              <w:rPr>
                <w:rFonts w:ascii="Calibri" w:hAnsi="Calibri"/>
                <w:sz w:val="18"/>
                <w:szCs w:val="18"/>
              </w:rPr>
              <w:t xml:space="preserve">ducation </w:t>
            </w:r>
            <w:r>
              <w:rPr>
                <w:rFonts w:ascii="Calibri" w:hAnsi="Calibri"/>
                <w:sz w:val="18"/>
                <w:szCs w:val="18"/>
              </w:rPr>
              <w:t>i</w:t>
            </w:r>
            <w:r w:rsidRPr="000A056F">
              <w:rPr>
                <w:rFonts w:ascii="Calibri" w:hAnsi="Calibri"/>
                <w:sz w:val="18"/>
                <w:szCs w:val="18"/>
              </w:rPr>
              <w:t>nstitutions</w:t>
            </w:r>
          </w:p>
          <w:p w14:paraId="14549758" w14:textId="77777777" w:rsidR="006B4648" w:rsidRPr="0019773D"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0A056F">
              <w:rPr>
                <w:rFonts w:ascii="Calibri" w:hAnsi="Calibri"/>
                <w:sz w:val="18"/>
                <w:szCs w:val="18"/>
              </w:rPr>
              <w:t xml:space="preserve">The proposal includes clear arrangements and responsibilities for transparent and efficient decision-making, conflict resolution, risk management and reporting and communication between </w:t>
            </w:r>
            <w:r>
              <w:rPr>
                <w:rFonts w:ascii="Calibri" w:hAnsi="Calibri"/>
                <w:sz w:val="18"/>
                <w:szCs w:val="18"/>
              </w:rPr>
              <w:t>the participating organisations.</w:t>
            </w:r>
          </w:p>
        </w:tc>
      </w:tr>
      <w:tr w:rsidR="006B4648" w:rsidRPr="001A605D" w14:paraId="665B8308" w14:textId="77777777" w:rsidTr="00ED48D9">
        <w:tc>
          <w:tcPr>
            <w:tcW w:w="2376" w:type="dxa"/>
            <w:shd w:val="clear" w:color="auto" w:fill="auto"/>
          </w:tcPr>
          <w:p w14:paraId="5DF78EC4" w14:textId="77777777" w:rsidR="006B4648" w:rsidRPr="0019773D" w:rsidRDefault="006B4648" w:rsidP="00ED48D9">
            <w:pPr>
              <w:pStyle w:val="texte"/>
              <w:spacing w:before="0"/>
              <w:rPr>
                <w:rFonts w:ascii="Calibri" w:hAnsi="Calibri" w:cs="Tahoma"/>
                <w:b/>
                <w:color w:val="auto"/>
                <w:sz w:val="18"/>
                <w:szCs w:val="18"/>
              </w:rPr>
            </w:pPr>
            <w:r>
              <w:rPr>
                <w:rFonts w:ascii="Calibri" w:hAnsi="Calibri" w:cs="Tahoma"/>
                <w:b/>
                <w:color w:val="auto"/>
                <w:sz w:val="18"/>
                <w:szCs w:val="18"/>
              </w:rPr>
              <w:t>Sustainability</w:t>
            </w:r>
            <w:r w:rsidRPr="0019773D">
              <w:rPr>
                <w:rFonts w:ascii="Calibri" w:hAnsi="Calibri" w:cs="Tahoma"/>
                <w:b/>
                <w:color w:val="auto"/>
                <w:sz w:val="18"/>
                <w:szCs w:val="18"/>
              </w:rPr>
              <w:t xml:space="preserve"> and dissemination </w:t>
            </w:r>
          </w:p>
          <w:p w14:paraId="7D2CDDCD" w14:textId="77777777" w:rsidR="006B4648" w:rsidRPr="004A067E" w:rsidRDefault="006B4648" w:rsidP="00ED48D9">
            <w:pPr>
              <w:spacing w:after="100"/>
              <w:rPr>
                <w:rFonts w:ascii="Calibri" w:hAnsi="Calibri"/>
              </w:rPr>
            </w:pPr>
            <w:r w:rsidRPr="004A067E">
              <w:rPr>
                <w:rFonts w:ascii="Calibri" w:hAnsi="Calibri"/>
                <w:b/>
                <w:sz w:val="18"/>
              </w:rPr>
              <w:t>(maximum 20 points)</w:t>
            </w:r>
          </w:p>
        </w:tc>
        <w:tc>
          <w:tcPr>
            <w:tcW w:w="6910" w:type="dxa"/>
            <w:shd w:val="clear" w:color="auto" w:fill="auto"/>
          </w:tcPr>
          <w:p w14:paraId="3D45F131" w14:textId="77777777" w:rsidR="006B4648" w:rsidRPr="00EF4C25"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EF4C25">
              <w:rPr>
                <w:rFonts w:ascii="Calibri" w:hAnsi="Calibri"/>
                <w:sz w:val="18"/>
                <w:szCs w:val="18"/>
              </w:rPr>
              <w:t xml:space="preserve">Long-term strategy for sustainability of the alliance: the proposal includes a section on sustainability outlining how each member of the alliance will support this </w:t>
            </w:r>
            <w:r>
              <w:rPr>
                <w:rFonts w:ascii="Calibri" w:hAnsi="Calibri"/>
                <w:sz w:val="18"/>
                <w:szCs w:val="18"/>
              </w:rPr>
              <w:t xml:space="preserve">financially or otherwise </w:t>
            </w:r>
            <w:r w:rsidRPr="00EF4C25">
              <w:rPr>
                <w:rFonts w:ascii="Calibri" w:hAnsi="Calibri"/>
                <w:sz w:val="18"/>
                <w:szCs w:val="18"/>
              </w:rPr>
              <w:t xml:space="preserve">with the objective of being sustainable beyond the </w:t>
            </w:r>
            <w:r>
              <w:rPr>
                <w:rFonts w:ascii="Calibri" w:hAnsi="Calibri"/>
                <w:sz w:val="18"/>
                <w:szCs w:val="18"/>
              </w:rPr>
              <w:t>EU funded period</w:t>
            </w:r>
            <w:r w:rsidRPr="00EF4C25">
              <w:rPr>
                <w:rFonts w:ascii="Calibri" w:hAnsi="Calibri"/>
                <w:sz w:val="18"/>
                <w:szCs w:val="18"/>
              </w:rPr>
              <w:t>.</w:t>
            </w:r>
          </w:p>
          <w:p w14:paraId="3F42B80C" w14:textId="77777777" w:rsidR="006B4648" w:rsidRPr="00EF4C25"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EF4C25">
              <w:rPr>
                <w:rFonts w:ascii="Calibri" w:hAnsi="Calibri"/>
                <w:sz w:val="18"/>
                <w:szCs w:val="18"/>
              </w:rPr>
              <w:t xml:space="preserve">Capacity of the alliance to act as role model: </w:t>
            </w:r>
            <w:r>
              <w:rPr>
                <w:rFonts w:ascii="Calibri" w:hAnsi="Calibri"/>
                <w:sz w:val="18"/>
                <w:szCs w:val="18"/>
              </w:rPr>
              <w:t>the e</w:t>
            </w:r>
            <w:r w:rsidRPr="00EF4C25">
              <w:rPr>
                <w:rFonts w:ascii="Calibri" w:hAnsi="Calibri"/>
                <w:sz w:val="18"/>
                <w:szCs w:val="18"/>
              </w:rPr>
              <w:t>xtent to which outputs and good practices generated by the alliance will be shared and have the potential to be mainstreamed in other higher education institutions with whom they cooperate beyond the alliance</w:t>
            </w:r>
            <w:r>
              <w:rPr>
                <w:rFonts w:ascii="Calibri" w:hAnsi="Calibri"/>
                <w:sz w:val="18"/>
                <w:szCs w:val="18"/>
              </w:rPr>
              <w:t xml:space="preserve"> mainly in the European Union, but also beyond.</w:t>
            </w:r>
          </w:p>
          <w:p w14:paraId="7D9B76A1" w14:textId="77777777" w:rsidR="006B4648" w:rsidRPr="00EF4C25"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EF4C25">
              <w:rPr>
                <w:rFonts w:ascii="Calibri" w:hAnsi="Calibri"/>
                <w:sz w:val="18"/>
                <w:szCs w:val="18"/>
              </w:rPr>
              <w:t xml:space="preserve">Dissemination: the proposal provides a clear dissemination plan of results and good practices put in place, and includes appropriate human and financial resources, activities, tools and communication channels including the use of social media to ensure that results and benefits will be transferred and shared openly and effectively to a wide range of stakeholders during and after the </w:t>
            </w:r>
            <w:r>
              <w:rPr>
                <w:rFonts w:ascii="Calibri" w:hAnsi="Calibri"/>
                <w:sz w:val="18"/>
                <w:szCs w:val="18"/>
              </w:rPr>
              <w:t>funding period of the European University alliance</w:t>
            </w:r>
            <w:r w:rsidRPr="00EF4C25">
              <w:rPr>
                <w:rFonts w:ascii="Calibri" w:hAnsi="Calibri"/>
                <w:sz w:val="18"/>
                <w:szCs w:val="18"/>
              </w:rPr>
              <w:t>;</w:t>
            </w:r>
          </w:p>
          <w:p w14:paraId="5022E943" w14:textId="77777777" w:rsidR="006B4648" w:rsidRPr="00D20D5B" w:rsidRDefault="006B4648" w:rsidP="006B4648">
            <w:pPr>
              <w:pStyle w:val="ListeParagraf"/>
              <w:numPr>
                <w:ilvl w:val="0"/>
                <w:numId w:val="15"/>
              </w:numPr>
              <w:tabs>
                <w:tab w:val="left" w:pos="3294"/>
              </w:tabs>
              <w:spacing w:after="100" w:line="276" w:lineRule="auto"/>
              <w:ind w:left="317" w:hanging="284"/>
              <w:rPr>
                <w:rFonts w:ascii="Calibri" w:hAnsi="Calibri"/>
                <w:sz w:val="18"/>
                <w:szCs w:val="18"/>
              </w:rPr>
            </w:pPr>
            <w:r w:rsidRPr="00EF4C25">
              <w:rPr>
                <w:rFonts w:ascii="Calibri" w:hAnsi="Calibri"/>
                <w:sz w:val="18"/>
                <w:szCs w:val="18"/>
              </w:rPr>
              <w:t xml:space="preserve">Open Educational and Open Science and Citizen Science resources: If relevant, and within the limits of existing national and European legal frameworks, the proposal describes how data, materials, documents and audiovisuals and social media activity will be made available to make data </w:t>
            </w:r>
            <w:r>
              <w:rPr>
                <w:rFonts w:ascii="Calibri" w:hAnsi="Calibri"/>
                <w:sz w:val="18"/>
                <w:szCs w:val="18"/>
              </w:rPr>
              <w:t>searchable</w:t>
            </w:r>
            <w:r w:rsidRPr="00EF4C25">
              <w:rPr>
                <w:rFonts w:ascii="Calibri" w:hAnsi="Calibri"/>
                <w:sz w:val="18"/>
                <w:szCs w:val="18"/>
              </w:rPr>
              <w:t>, accessible, interoperable, and re-usable (FAIR) to other higher education institutions and European Universities in Europe.</w:t>
            </w:r>
          </w:p>
        </w:tc>
      </w:tr>
    </w:tbl>
    <w:p w14:paraId="5FBEC5FC" w14:textId="77777777" w:rsidR="006B4648" w:rsidRPr="0019773D" w:rsidRDefault="006B4648" w:rsidP="006B4648">
      <w:pPr>
        <w:pStyle w:val="Guide-Normal"/>
      </w:pPr>
    </w:p>
    <w:p w14:paraId="34BE4CF5" w14:textId="77777777" w:rsidR="006B4648" w:rsidRDefault="006B4648" w:rsidP="006B4648">
      <w:pPr>
        <w:pStyle w:val="Guide-Normal"/>
      </w:pPr>
      <w:r w:rsidRPr="0019773D">
        <w:t>To be considered for funding, proposals must score at least 70 points. Furthermore, they must score minimum 13 points for the categor</w:t>
      </w:r>
      <w:r>
        <w:t>y</w:t>
      </w:r>
      <w:r w:rsidRPr="0019773D">
        <w:t xml:space="preserve"> "relevance of the </w:t>
      </w:r>
      <w:r>
        <w:t>proposal</w:t>
      </w:r>
      <w:r w:rsidRPr="0019773D">
        <w:t>"</w:t>
      </w:r>
      <w:r>
        <w:t xml:space="preserve">, </w:t>
      </w:r>
      <w:r w:rsidRPr="0019773D">
        <w:t>1</w:t>
      </w:r>
      <w:r>
        <w:t>1</w:t>
      </w:r>
      <w:r w:rsidRPr="0019773D">
        <w:t xml:space="preserve"> points for the categor</w:t>
      </w:r>
      <w:r>
        <w:t xml:space="preserve">ies </w:t>
      </w:r>
      <w:r w:rsidRPr="0019773D">
        <w:t>"</w:t>
      </w:r>
      <w:r>
        <w:t>q</w:t>
      </w:r>
      <w:r w:rsidRPr="00BA30D4">
        <w:t xml:space="preserve">uality of the </w:t>
      </w:r>
      <w:r>
        <w:t>proposal and implementation</w:t>
      </w:r>
      <w:r w:rsidRPr="0019773D">
        <w:t>"</w:t>
      </w:r>
      <w:r>
        <w:t>,</w:t>
      </w:r>
      <w:r w:rsidRPr="0019773D">
        <w:t xml:space="preserve"> </w:t>
      </w:r>
      <w:r>
        <w:t>"q</w:t>
      </w:r>
      <w:r w:rsidRPr="00BA30D4">
        <w:t>uality of the al</w:t>
      </w:r>
      <w:r>
        <w:t>liance cooperation arrangements</w:t>
      </w:r>
      <w:r w:rsidRPr="0019773D">
        <w:t>"</w:t>
      </w:r>
      <w:r>
        <w:t xml:space="preserve"> </w:t>
      </w:r>
      <w:r w:rsidRPr="0019773D">
        <w:t>and "</w:t>
      </w:r>
      <w:r>
        <w:t>sustainability</w:t>
      </w:r>
      <w:r w:rsidRPr="0019773D">
        <w:t xml:space="preserve"> and dissemination"</w:t>
      </w:r>
      <w:r>
        <w:t xml:space="preserve"> and 8 points for the category </w:t>
      </w:r>
      <w:r w:rsidRPr="00FA1A0A">
        <w:t>“</w:t>
      </w:r>
      <w:r w:rsidRPr="00D1724C">
        <w:t>geographical balance”.</w:t>
      </w:r>
    </w:p>
    <w:p w14:paraId="039B28E0" w14:textId="77777777" w:rsidR="006B4648" w:rsidRPr="0019773D" w:rsidRDefault="006B4648" w:rsidP="006B4648">
      <w:pPr>
        <w:pStyle w:val="Guide-Heading5"/>
      </w:pPr>
      <w:r w:rsidRPr="0019773D">
        <w:lastRenderedPageBreak/>
        <w:t>What else should you know about this Action?</w:t>
      </w:r>
    </w:p>
    <w:p w14:paraId="727BD2FE" w14:textId="77777777" w:rsidR="006B4648" w:rsidRDefault="006B4648" w:rsidP="006B4648">
      <w:pPr>
        <w:pStyle w:val="Guide-Normal"/>
      </w:pPr>
      <w:r>
        <w:t>Additional information about European Universities is published on the Commission website.</w:t>
      </w:r>
      <w:r>
        <w:rPr>
          <w:rStyle w:val="DipnotBavurusu"/>
        </w:rPr>
        <w:footnoteReference w:id="11"/>
      </w:r>
    </w:p>
    <w:p w14:paraId="135A4E44" w14:textId="77777777" w:rsidR="006B4648" w:rsidRDefault="006B4648" w:rsidP="006B4648">
      <w:pPr>
        <w:pStyle w:val="Guide-Normal"/>
      </w:pPr>
    </w:p>
    <w:p w14:paraId="0A794113" w14:textId="77777777" w:rsidR="006B4648" w:rsidRDefault="006B4648" w:rsidP="006B4648">
      <w:pPr>
        <w:pStyle w:val="Guide-Normal"/>
      </w:pPr>
      <w:r w:rsidRPr="0019773D">
        <w:t xml:space="preserve">Quality assurance must be an embedded component to ensure that </w:t>
      </w:r>
      <w:r>
        <w:t xml:space="preserve">European Universities </w:t>
      </w:r>
      <w:r w:rsidRPr="0019773D">
        <w:t xml:space="preserve">successfully deliver the expected results and achieve an impact going far beyond </w:t>
      </w:r>
      <w:r>
        <w:t xml:space="preserve">the impact an individual </w:t>
      </w:r>
      <w:r w:rsidRPr="0019773D">
        <w:t>par</w:t>
      </w:r>
      <w:r>
        <w:t xml:space="preserve">tner organisation could achieve. European Universities </w:t>
      </w:r>
      <w:r w:rsidRPr="0019773D">
        <w:t>are required to accomplish targeted dissemination activities which reach out to stakeholders, policy makers</w:t>
      </w:r>
      <w:r>
        <w:t>, professionals and enterprises</w:t>
      </w:r>
      <w:r w:rsidRPr="0019773D">
        <w:t xml:space="preserve">. </w:t>
      </w:r>
      <w:r>
        <w:t>As a general rule</w:t>
      </w:r>
      <w:r w:rsidRPr="0019773D">
        <w:t>, results should be made available as open educational resources (OER) as well as on relevant professional, sectorial or competent authorities' platforms.</w:t>
      </w:r>
      <w:r>
        <w:t xml:space="preserve"> </w:t>
      </w:r>
    </w:p>
    <w:p w14:paraId="68C23C7C" w14:textId="77777777" w:rsidR="006B4648" w:rsidRDefault="006B4648" w:rsidP="006B4648">
      <w:pPr>
        <w:pStyle w:val="Guide-Normal"/>
      </w:pPr>
    </w:p>
    <w:p w14:paraId="7E973EEE" w14:textId="77777777" w:rsidR="006B4648" w:rsidRPr="00EF4C25" w:rsidRDefault="006B4648" w:rsidP="006B4648">
      <w:pPr>
        <w:spacing w:line="276" w:lineRule="auto"/>
        <w:rPr>
          <w:rFonts w:asciiTheme="minorHAnsi" w:hAnsiTheme="minorHAnsi"/>
          <w:b/>
        </w:rPr>
      </w:pPr>
      <w:r w:rsidRPr="00EF4C25">
        <w:rPr>
          <w:rFonts w:asciiTheme="minorHAnsi" w:hAnsiTheme="minorHAnsi"/>
          <w:b/>
        </w:rPr>
        <w:t>WHAT ARE THE FUNDING RULES</w:t>
      </w:r>
    </w:p>
    <w:p w14:paraId="0B562128" w14:textId="77777777" w:rsidR="006B4648" w:rsidRDefault="006B4648" w:rsidP="006B4648">
      <w:pPr>
        <w:pStyle w:val="Guide-Normal"/>
      </w:pPr>
    </w:p>
    <w:p w14:paraId="0242B634" w14:textId="77777777" w:rsidR="006B4648" w:rsidRPr="00EF4C25" w:rsidRDefault="006B4648" w:rsidP="006B4648">
      <w:pPr>
        <w:pBdr>
          <w:top w:val="single" w:sz="4" w:space="1" w:color="auto"/>
          <w:left w:val="single" w:sz="4" w:space="4" w:color="auto"/>
          <w:bottom w:val="single" w:sz="4" w:space="1" w:color="auto"/>
          <w:right w:val="single" w:sz="4" w:space="4" w:color="auto"/>
        </w:pBdr>
        <w:jc w:val="center"/>
        <w:rPr>
          <w:rFonts w:ascii="Calibri" w:hAnsi="Calibri"/>
          <w:b/>
          <w:sz w:val="20"/>
          <w:szCs w:val="20"/>
        </w:rPr>
      </w:pPr>
      <w:r w:rsidRPr="00EF4C25">
        <w:rPr>
          <w:rFonts w:ascii="Calibri" w:hAnsi="Calibri"/>
          <w:b/>
          <w:sz w:val="20"/>
          <w:szCs w:val="20"/>
        </w:rPr>
        <w:t>Maximum EU contribution awarded for a 3-year European University: 5 000 000 EUR</w:t>
      </w:r>
    </w:p>
    <w:p w14:paraId="5454A4FB" w14:textId="77777777" w:rsidR="006B4648" w:rsidRDefault="006B4648" w:rsidP="006B4648">
      <w:pPr>
        <w:pStyle w:val="Guide-Normal"/>
      </w:pPr>
    </w:p>
    <w:p w14:paraId="4E4A24F3" w14:textId="77777777" w:rsidR="006B4648" w:rsidRDefault="006B4648" w:rsidP="006B4648">
      <w:pPr>
        <w:pStyle w:val="Guide-Normal"/>
      </w:pPr>
    </w:p>
    <w:p w14:paraId="0D78611C" w14:textId="77777777" w:rsidR="006B4648" w:rsidRPr="00EF4C25" w:rsidRDefault="006B4648" w:rsidP="006B4648">
      <w:pPr>
        <w:pStyle w:val="Guide-Normal"/>
      </w:pPr>
      <w:r w:rsidRPr="00EF4C25">
        <w:t xml:space="preserve">The budget of the </w:t>
      </w:r>
      <w:r>
        <w:t>European</w:t>
      </w:r>
      <w:r w:rsidRPr="00EF4C25">
        <w:t xml:space="preserve"> </w:t>
      </w:r>
      <w:r>
        <w:t>U</w:t>
      </w:r>
      <w:r w:rsidRPr="00EF4C25">
        <w:t>niversities alliances will be based on the costs actually incurred by the alliance's activities. The EU grant will aim at co-financing these activities up to a maximum of 80% of the total eligible costs.</w:t>
      </w:r>
    </w:p>
    <w:p w14:paraId="5E32390D" w14:textId="77777777" w:rsidR="006B4648" w:rsidRPr="00EF4C25" w:rsidRDefault="006B4648" w:rsidP="006B4648">
      <w:pPr>
        <w:pStyle w:val="Guide-Normal"/>
      </w:pPr>
    </w:p>
    <w:p w14:paraId="47C3854F" w14:textId="77777777" w:rsidR="006B4648" w:rsidRPr="00EF4C25" w:rsidRDefault="006B4648" w:rsidP="006B4648">
      <w:pPr>
        <w:pStyle w:val="Guide-Normal"/>
      </w:pPr>
      <w:r w:rsidRPr="00EF4C25">
        <w:t xml:space="preserve">The budget requested will need to be justified in relation to the planned activities as described in the application form. All the costs will have to be fully described and justified. </w:t>
      </w:r>
    </w:p>
    <w:p w14:paraId="32DDFC85" w14:textId="77777777" w:rsidR="006B4648" w:rsidRPr="00EF4C25" w:rsidRDefault="006B4648" w:rsidP="006B4648">
      <w:pPr>
        <w:pStyle w:val="Guide-Normal"/>
      </w:pPr>
    </w:p>
    <w:p w14:paraId="092D4579" w14:textId="77777777" w:rsidR="006B4648" w:rsidRPr="00EF4C25" w:rsidRDefault="006B4648" w:rsidP="006B4648">
      <w:pPr>
        <w:pStyle w:val="Guide-Normal"/>
      </w:pPr>
      <w:r w:rsidRPr="00EF4C25">
        <w:t>The costs must correspond to the costs incurred by the participating institutions in line with their usual policy. In particular</w:t>
      </w:r>
      <w:r>
        <w:t>,</w:t>
      </w:r>
      <w:r w:rsidRPr="00EF4C25">
        <w:t xml:space="preserve"> for remunerations</w:t>
      </w:r>
      <w:r>
        <w:t>,</w:t>
      </w:r>
      <w:r w:rsidRPr="00EF4C25">
        <w:t xml:space="preserve"> the costs should be in line with the usual policy on the actual salaries plus social security charges and other statutory costs usually included in the remunerations; the costs for travels and individual support should be in line with the usual practices of the participating institutions/organisations on travel and accommodation; costs of equipment should be written off in accordance with the usual accounting practice of the beneficiary.</w:t>
      </w:r>
    </w:p>
    <w:p w14:paraId="28CEED8D" w14:textId="77777777" w:rsidR="006B4648" w:rsidRPr="00EF4C25" w:rsidRDefault="006B4648" w:rsidP="006B4648">
      <w:pPr>
        <w:pStyle w:val="Guide-Normal"/>
      </w:pPr>
    </w:p>
    <w:p w14:paraId="257C15B6" w14:textId="77777777" w:rsidR="006B4648" w:rsidRPr="00EF4C25" w:rsidRDefault="006B4648" w:rsidP="006B4648">
      <w:pPr>
        <w:pStyle w:val="Guide-Normal"/>
      </w:pPr>
      <w:r w:rsidRPr="00EF4C25">
        <w:t xml:space="preserve">The costs (including equipment and subcontracting) should be reasonable, justified and directly related to the achievement of the objectives of the </w:t>
      </w:r>
      <w:r>
        <w:t>European University alliance</w:t>
      </w:r>
      <w:r w:rsidRPr="00EF4C25">
        <w:t xml:space="preserve">. Moreover subcontracting will have to comply with EU public procurement rules. </w:t>
      </w:r>
    </w:p>
    <w:p w14:paraId="2459B8A4" w14:textId="77777777" w:rsidR="006B4648" w:rsidRPr="00EF4C25" w:rsidRDefault="006B4648" w:rsidP="006B4648">
      <w:pPr>
        <w:pStyle w:val="Guide-Normal"/>
      </w:pPr>
    </w:p>
    <w:p w14:paraId="210D3708" w14:textId="77777777" w:rsidR="006B4648" w:rsidRDefault="006B4648" w:rsidP="006B4648">
      <w:pPr>
        <w:pStyle w:val="Guide-Normal"/>
      </w:pPr>
      <w:r w:rsidRPr="00EF4C25">
        <w:t>The different budget items should be organised as follows</w:t>
      </w:r>
      <w:r>
        <w:t>:</w:t>
      </w:r>
    </w:p>
    <w:p w14:paraId="13050460" w14:textId="77777777" w:rsidR="006B4648" w:rsidRDefault="006B4648" w:rsidP="006B4648">
      <w:pPr>
        <w:pStyle w:val="Guide-Normal"/>
      </w:pPr>
    </w:p>
    <w:tbl>
      <w:tblPr>
        <w:tblStyle w:val="TableGrid1"/>
        <w:tblW w:w="9288" w:type="dxa"/>
        <w:tblLook w:val="04A0" w:firstRow="1" w:lastRow="0" w:firstColumn="1" w:lastColumn="0" w:noHBand="0" w:noVBand="1"/>
      </w:tblPr>
      <w:tblGrid>
        <w:gridCol w:w="1435"/>
        <w:gridCol w:w="2398"/>
        <w:gridCol w:w="1200"/>
        <w:gridCol w:w="1184"/>
        <w:gridCol w:w="3071"/>
      </w:tblGrid>
      <w:tr w:rsidR="006B4648" w:rsidRPr="00925F71" w14:paraId="7827A3AD" w14:textId="77777777" w:rsidTr="00ED48D9">
        <w:tc>
          <w:tcPr>
            <w:tcW w:w="1435" w:type="dxa"/>
            <w:shd w:val="clear" w:color="auto" w:fill="BFBFBF" w:themeFill="background1" w:themeFillShade="BF"/>
          </w:tcPr>
          <w:p w14:paraId="4285A1E1"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2398" w:type="dxa"/>
            <w:shd w:val="clear" w:color="auto" w:fill="BFBFBF" w:themeFill="background1" w:themeFillShade="BF"/>
          </w:tcPr>
          <w:p w14:paraId="1BA007C3"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p w14:paraId="65568134" w14:textId="77777777" w:rsidR="006B4648" w:rsidRPr="00925F71"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Eligible costs</w:t>
            </w:r>
          </w:p>
          <w:p w14:paraId="42A79F07"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1200" w:type="dxa"/>
            <w:shd w:val="clear" w:color="auto" w:fill="BFBFBF" w:themeFill="background1" w:themeFillShade="BF"/>
          </w:tcPr>
          <w:p w14:paraId="338CA20A"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p w14:paraId="353132F3" w14:textId="77777777" w:rsidR="006B4648" w:rsidRPr="00925F71"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Financing mechanism</w:t>
            </w:r>
          </w:p>
        </w:tc>
        <w:tc>
          <w:tcPr>
            <w:tcW w:w="1184" w:type="dxa"/>
            <w:shd w:val="clear" w:color="auto" w:fill="BFBFBF" w:themeFill="background1" w:themeFillShade="BF"/>
          </w:tcPr>
          <w:p w14:paraId="3B7C5B89"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p w14:paraId="2CD066A5" w14:textId="77777777" w:rsidR="006B4648" w:rsidRPr="00925F71"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Amount</w:t>
            </w:r>
          </w:p>
        </w:tc>
        <w:tc>
          <w:tcPr>
            <w:tcW w:w="3071" w:type="dxa"/>
            <w:shd w:val="clear" w:color="auto" w:fill="BFBFBF" w:themeFill="background1" w:themeFillShade="BF"/>
          </w:tcPr>
          <w:p w14:paraId="51FE938B"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p w14:paraId="2E6F1FE7" w14:textId="77777777" w:rsidR="006B4648" w:rsidRPr="00925F71"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 xml:space="preserve">Rule of allocation </w:t>
            </w:r>
          </w:p>
        </w:tc>
      </w:tr>
      <w:tr w:rsidR="006B4648" w:rsidRPr="00925F71" w14:paraId="335D82B0" w14:textId="77777777" w:rsidTr="00ED48D9">
        <w:tc>
          <w:tcPr>
            <w:tcW w:w="1435" w:type="dxa"/>
            <w:shd w:val="clear" w:color="auto" w:fill="F2F2F2" w:themeFill="background1" w:themeFillShade="F2"/>
          </w:tcPr>
          <w:p w14:paraId="23BF1DFC" w14:textId="77777777" w:rsidR="006B4648" w:rsidRPr="00925F71"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1. DIRECT COSTS</w:t>
            </w:r>
          </w:p>
          <w:p w14:paraId="75EE0304"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2398" w:type="dxa"/>
            <w:shd w:val="clear" w:color="auto" w:fill="F2F2F2" w:themeFill="background1" w:themeFillShade="F2"/>
          </w:tcPr>
          <w:p w14:paraId="46F6B2AE"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1200" w:type="dxa"/>
            <w:shd w:val="clear" w:color="auto" w:fill="F2F2F2" w:themeFill="background1" w:themeFillShade="F2"/>
          </w:tcPr>
          <w:p w14:paraId="01318B5E" w14:textId="77777777" w:rsidR="006B4648" w:rsidRPr="00925F71" w:rsidRDefault="006B4648" w:rsidP="00ED48D9">
            <w:pPr>
              <w:widowControl/>
              <w:suppressAutoHyphens w:val="0"/>
              <w:autoSpaceDN/>
              <w:spacing w:line="276" w:lineRule="auto"/>
              <w:textAlignment w:val="auto"/>
              <w:rPr>
                <w:kern w:val="0"/>
                <w:sz w:val="18"/>
                <w:szCs w:val="18"/>
                <w:lang w:eastAsia="en-GB"/>
              </w:rPr>
            </w:pPr>
            <w:r w:rsidRPr="00925F71">
              <w:rPr>
                <w:kern w:val="0"/>
                <w:sz w:val="18"/>
                <w:szCs w:val="18"/>
                <w:lang w:eastAsia="en-GB"/>
              </w:rPr>
              <w:t>Eligible costs actually incurred</w:t>
            </w:r>
          </w:p>
        </w:tc>
        <w:tc>
          <w:tcPr>
            <w:tcW w:w="1184" w:type="dxa"/>
            <w:shd w:val="clear" w:color="auto" w:fill="F2F2F2" w:themeFill="background1" w:themeFillShade="F2"/>
          </w:tcPr>
          <w:p w14:paraId="64BC3391"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3071" w:type="dxa"/>
            <w:shd w:val="clear" w:color="auto" w:fill="F2F2F2" w:themeFill="background1" w:themeFillShade="F2"/>
          </w:tcPr>
          <w:p w14:paraId="23133824" w14:textId="77777777" w:rsidR="006B4648" w:rsidRPr="00925F71" w:rsidRDefault="006B4648" w:rsidP="00ED48D9">
            <w:pPr>
              <w:widowControl/>
              <w:suppressAutoHyphens w:val="0"/>
              <w:autoSpaceDN/>
              <w:spacing w:line="276" w:lineRule="auto"/>
              <w:textAlignment w:val="auto"/>
              <w:rPr>
                <w:kern w:val="0"/>
                <w:sz w:val="18"/>
                <w:szCs w:val="18"/>
                <w:lang w:eastAsia="en-GB"/>
              </w:rPr>
            </w:pPr>
          </w:p>
        </w:tc>
      </w:tr>
      <w:tr w:rsidR="006B4648" w:rsidRPr="001A605D" w14:paraId="6027B272" w14:textId="77777777" w:rsidTr="00ED48D9">
        <w:tc>
          <w:tcPr>
            <w:tcW w:w="1435" w:type="dxa"/>
          </w:tcPr>
          <w:p w14:paraId="256B69F6" w14:textId="77777777" w:rsidR="006B4648" w:rsidRPr="00925F71" w:rsidRDefault="006B4648" w:rsidP="00ED48D9">
            <w:pPr>
              <w:widowControl/>
              <w:suppressAutoHyphens w:val="0"/>
              <w:autoSpaceDN/>
              <w:spacing w:after="200" w:line="276" w:lineRule="auto"/>
              <w:ind w:right="-62"/>
              <w:contextualSpacing/>
              <w:textAlignment w:val="auto"/>
              <w:rPr>
                <w:b/>
                <w:kern w:val="0"/>
                <w:sz w:val="18"/>
                <w:szCs w:val="18"/>
                <w:lang w:eastAsia="en-US"/>
              </w:rPr>
            </w:pPr>
            <w:r w:rsidRPr="00925F71">
              <w:rPr>
                <w:b/>
                <w:kern w:val="0"/>
                <w:sz w:val="18"/>
                <w:szCs w:val="18"/>
                <w:lang w:eastAsia="en-US"/>
              </w:rPr>
              <w:t>1.1 Staff costs</w:t>
            </w:r>
          </w:p>
        </w:tc>
        <w:tc>
          <w:tcPr>
            <w:tcW w:w="2398" w:type="dxa"/>
          </w:tcPr>
          <w:p w14:paraId="24CCDBE9" w14:textId="77777777" w:rsidR="006B4648" w:rsidRPr="00925F71" w:rsidRDefault="006B4648" w:rsidP="00ED48D9">
            <w:pPr>
              <w:widowControl/>
              <w:suppressAutoHyphens w:val="0"/>
              <w:autoSpaceDN/>
              <w:spacing w:line="276" w:lineRule="auto"/>
              <w:jc w:val="both"/>
              <w:textAlignment w:val="auto"/>
              <w:rPr>
                <w:kern w:val="0"/>
                <w:sz w:val="18"/>
                <w:szCs w:val="18"/>
                <w:lang w:eastAsia="en-GB"/>
              </w:rPr>
            </w:pPr>
            <w:r w:rsidRPr="00925F71">
              <w:rPr>
                <w:kern w:val="0"/>
                <w:sz w:val="18"/>
                <w:szCs w:val="18"/>
                <w:lang w:eastAsia="en-GB"/>
              </w:rPr>
              <w:t>Costs of staff assigned to the action (both permanent and temporary) from the participating institutions/organisations, comprising actual salaries plus social security charges and other statutory costs included in their remuneration.</w:t>
            </w:r>
          </w:p>
        </w:tc>
        <w:tc>
          <w:tcPr>
            <w:tcW w:w="1200" w:type="dxa"/>
          </w:tcPr>
          <w:p w14:paraId="621D2F71"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1184" w:type="dxa"/>
          </w:tcPr>
          <w:p w14:paraId="14B1EBED" w14:textId="77777777" w:rsidR="006B4648" w:rsidRPr="00925F71"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Maximum 60% of the total direct eligible costs</w:t>
            </w:r>
          </w:p>
        </w:tc>
        <w:tc>
          <w:tcPr>
            <w:tcW w:w="3071" w:type="dxa"/>
          </w:tcPr>
          <w:p w14:paraId="08B4AFD4" w14:textId="77777777" w:rsidR="006B4648" w:rsidRPr="00925F71" w:rsidRDefault="006B4648" w:rsidP="00ED48D9">
            <w:pPr>
              <w:widowControl/>
              <w:suppressAutoHyphens w:val="0"/>
              <w:autoSpaceDN/>
              <w:spacing w:line="276" w:lineRule="auto"/>
              <w:jc w:val="both"/>
              <w:textAlignment w:val="auto"/>
              <w:rPr>
                <w:kern w:val="0"/>
                <w:sz w:val="18"/>
                <w:szCs w:val="18"/>
                <w:lang w:eastAsia="en-GB"/>
              </w:rPr>
            </w:pPr>
            <w:r w:rsidRPr="00925F71">
              <w:rPr>
                <w:kern w:val="0"/>
                <w:sz w:val="18"/>
                <w:szCs w:val="18"/>
                <w:lang w:eastAsia="en-GB"/>
              </w:rPr>
              <w:t>The grant has to be used to cover the costs of staff for all beneficiaries when they are performing any tasks which are directly related to the achievement of the objectives of the European University.</w:t>
            </w:r>
          </w:p>
          <w:p w14:paraId="16CA0B7F"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r>
      <w:tr w:rsidR="006B4648" w:rsidRPr="001A605D" w14:paraId="2E44D9E3" w14:textId="77777777" w:rsidTr="00ED48D9">
        <w:trPr>
          <w:trHeight w:val="1129"/>
        </w:trPr>
        <w:tc>
          <w:tcPr>
            <w:tcW w:w="1435" w:type="dxa"/>
          </w:tcPr>
          <w:p w14:paraId="6DF598CD" w14:textId="77777777" w:rsidR="006B4648" w:rsidRPr="00925F71" w:rsidRDefault="006B4648" w:rsidP="00ED48D9">
            <w:pPr>
              <w:widowControl/>
              <w:suppressAutoHyphens w:val="0"/>
              <w:autoSpaceDN/>
              <w:spacing w:after="200" w:line="276" w:lineRule="auto"/>
              <w:ind w:right="-62"/>
              <w:contextualSpacing/>
              <w:textAlignment w:val="auto"/>
              <w:rPr>
                <w:b/>
                <w:kern w:val="0"/>
                <w:sz w:val="18"/>
                <w:szCs w:val="18"/>
                <w:lang w:eastAsia="en-US"/>
              </w:rPr>
            </w:pPr>
            <w:r w:rsidRPr="00925F71">
              <w:rPr>
                <w:b/>
                <w:kern w:val="0"/>
                <w:sz w:val="18"/>
                <w:szCs w:val="18"/>
                <w:lang w:eastAsia="en-US"/>
              </w:rPr>
              <w:t>1.2 Travel costs</w:t>
            </w:r>
          </w:p>
        </w:tc>
        <w:tc>
          <w:tcPr>
            <w:tcW w:w="2398" w:type="dxa"/>
          </w:tcPr>
          <w:p w14:paraId="01F3E511" w14:textId="77777777" w:rsidR="006B4648" w:rsidRPr="00925F71" w:rsidRDefault="006B4648" w:rsidP="00ED48D9">
            <w:pPr>
              <w:widowControl/>
              <w:suppressAutoHyphens w:val="0"/>
              <w:autoSpaceDE w:val="0"/>
              <w:adjustRightInd w:val="0"/>
              <w:jc w:val="both"/>
              <w:textAlignment w:val="auto"/>
              <w:rPr>
                <w:rFonts w:ascii="Calibri" w:hAnsi="Calibri" w:cs="Calibri"/>
                <w:color w:val="000000"/>
                <w:kern w:val="0"/>
                <w:sz w:val="18"/>
                <w:szCs w:val="18"/>
                <w:lang w:eastAsia="en-US"/>
              </w:rPr>
            </w:pPr>
            <w:r w:rsidRPr="00925F71">
              <w:rPr>
                <w:rFonts w:ascii="Calibri" w:hAnsi="Calibri" w:cs="Calibri"/>
                <w:color w:val="000000"/>
                <w:kern w:val="0"/>
                <w:sz w:val="18"/>
                <w:szCs w:val="18"/>
                <w:lang w:eastAsia="en-US"/>
              </w:rPr>
              <w:t xml:space="preserve">Contribution to the travel costs of participants to the venue of the activity and return. </w:t>
            </w:r>
          </w:p>
          <w:p w14:paraId="04A76292"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1200" w:type="dxa"/>
          </w:tcPr>
          <w:p w14:paraId="247D20A8"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1184" w:type="dxa"/>
          </w:tcPr>
          <w:p w14:paraId="6F5A9E8B" w14:textId="77777777" w:rsidR="006B4648" w:rsidRPr="00925F71"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Maximum 10% of total direct eligible costs</w:t>
            </w:r>
          </w:p>
        </w:tc>
        <w:tc>
          <w:tcPr>
            <w:tcW w:w="3071" w:type="dxa"/>
          </w:tcPr>
          <w:p w14:paraId="02811D11" w14:textId="77777777" w:rsidR="006B4648" w:rsidRPr="00925F71" w:rsidRDefault="006B4648" w:rsidP="00ED48D9">
            <w:pPr>
              <w:widowControl/>
              <w:suppressAutoHyphens w:val="0"/>
              <w:autoSpaceDN/>
              <w:spacing w:line="276" w:lineRule="auto"/>
              <w:jc w:val="both"/>
              <w:textAlignment w:val="auto"/>
              <w:rPr>
                <w:b/>
                <w:kern w:val="0"/>
                <w:sz w:val="18"/>
                <w:szCs w:val="18"/>
                <w:lang w:eastAsia="en-GB"/>
              </w:rPr>
            </w:pPr>
            <w:r w:rsidRPr="00925F71">
              <w:rPr>
                <w:kern w:val="0"/>
                <w:sz w:val="18"/>
                <w:szCs w:val="18"/>
                <w:lang w:eastAsia="en-GB"/>
              </w:rPr>
              <w:t>Applicable for staff (both permanent and temporary), students and doctoral candidates from the participating institutions/organisations taking part in the action (e.g. for training and study activities, meetings, workshops and seminars).</w:t>
            </w:r>
          </w:p>
        </w:tc>
      </w:tr>
      <w:tr w:rsidR="006B4648" w:rsidRPr="00925F71" w14:paraId="380414FA" w14:textId="77777777" w:rsidTr="00ED48D9">
        <w:trPr>
          <w:trHeight w:val="1254"/>
        </w:trPr>
        <w:tc>
          <w:tcPr>
            <w:tcW w:w="1435" w:type="dxa"/>
          </w:tcPr>
          <w:p w14:paraId="2267A299" w14:textId="77777777" w:rsidR="006B4648" w:rsidRPr="00925F71" w:rsidRDefault="006B4648" w:rsidP="00ED48D9">
            <w:pPr>
              <w:widowControl/>
              <w:suppressAutoHyphens w:val="0"/>
              <w:autoSpaceDN/>
              <w:spacing w:after="200" w:line="276" w:lineRule="auto"/>
              <w:ind w:right="-62"/>
              <w:contextualSpacing/>
              <w:textAlignment w:val="auto"/>
              <w:rPr>
                <w:b/>
                <w:kern w:val="0"/>
                <w:sz w:val="18"/>
                <w:szCs w:val="18"/>
                <w:lang w:eastAsia="en-US"/>
              </w:rPr>
            </w:pPr>
            <w:r w:rsidRPr="00925F71">
              <w:rPr>
                <w:b/>
                <w:kern w:val="0"/>
                <w:sz w:val="18"/>
                <w:szCs w:val="18"/>
                <w:lang w:eastAsia="en-US"/>
              </w:rPr>
              <w:lastRenderedPageBreak/>
              <w:t>1.3 Individual support</w:t>
            </w:r>
          </w:p>
        </w:tc>
        <w:tc>
          <w:tcPr>
            <w:tcW w:w="2398" w:type="dxa"/>
          </w:tcPr>
          <w:p w14:paraId="7CD59CD9" w14:textId="77777777" w:rsidR="006B4648" w:rsidRPr="00925F71" w:rsidRDefault="006B4648" w:rsidP="00ED48D9">
            <w:pPr>
              <w:widowControl/>
              <w:suppressAutoHyphens w:val="0"/>
              <w:autoSpaceDE w:val="0"/>
              <w:adjustRightInd w:val="0"/>
              <w:jc w:val="both"/>
              <w:textAlignment w:val="auto"/>
              <w:rPr>
                <w:rFonts w:cs="Calibri"/>
                <w:color w:val="000000"/>
                <w:kern w:val="0"/>
                <w:sz w:val="18"/>
                <w:szCs w:val="18"/>
                <w:lang w:eastAsia="en-US"/>
              </w:rPr>
            </w:pPr>
            <w:r w:rsidRPr="00925F71">
              <w:rPr>
                <w:rFonts w:ascii="Calibri" w:hAnsi="Calibri" w:cs="Calibri"/>
                <w:color w:val="000000"/>
                <w:kern w:val="0"/>
                <w:sz w:val="18"/>
                <w:szCs w:val="18"/>
                <w:lang w:eastAsia="en-US"/>
              </w:rPr>
              <w:t xml:space="preserve">Costs directly linked to the subsistence and accommodation of participants during the activity, </w:t>
            </w:r>
            <w:r w:rsidRPr="00925F71">
              <w:rPr>
                <w:rFonts w:cs="Calibri"/>
                <w:color w:val="000000"/>
                <w:kern w:val="0"/>
                <w:sz w:val="18"/>
                <w:szCs w:val="18"/>
                <w:lang w:eastAsia="en-US"/>
              </w:rPr>
              <w:t>taking part in the action .</w:t>
            </w:r>
          </w:p>
        </w:tc>
        <w:tc>
          <w:tcPr>
            <w:tcW w:w="1200" w:type="dxa"/>
          </w:tcPr>
          <w:p w14:paraId="29EF25CC"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1184" w:type="dxa"/>
          </w:tcPr>
          <w:p w14:paraId="5689CB6A" w14:textId="77777777" w:rsidR="006B4648" w:rsidRPr="00925F71"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Maximum 20% of total direct eligible costs</w:t>
            </w:r>
          </w:p>
        </w:tc>
        <w:tc>
          <w:tcPr>
            <w:tcW w:w="3071" w:type="dxa"/>
          </w:tcPr>
          <w:p w14:paraId="7F4D8635" w14:textId="77777777" w:rsidR="006B4648" w:rsidRPr="00925F71" w:rsidRDefault="006B4648" w:rsidP="00ED48D9">
            <w:pPr>
              <w:widowControl/>
              <w:suppressAutoHyphens w:val="0"/>
              <w:autoSpaceDN/>
              <w:spacing w:line="276" w:lineRule="auto"/>
              <w:jc w:val="both"/>
              <w:textAlignment w:val="auto"/>
              <w:rPr>
                <w:kern w:val="0"/>
                <w:sz w:val="18"/>
                <w:szCs w:val="18"/>
                <w:lang w:eastAsia="en-GB"/>
              </w:rPr>
            </w:pPr>
            <w:r w:rsidRPr="00925F71">
              <w:rPr>
                <w:kern w:val="0"/>
                <w:sz w:val="18"/>
                <w:szCs w:val="18"/>
                <w:lang w:eastAsia="en-GB"/>
              </w:rPr>
              <w:t xml:space="preserve">Applicable for staff (both permanent and temporary) students and doctoral candidates from the participating institutions/organisations </w:t>
            </w:r>
            <w:r w:rsidRPr="00925F71">
              <w:rPr>
                <w:rFonts w:cs="Calibri"/>
                <w:color w:val="000000"/>
                <w:kern w:val="0"/>
                <w:sz w:val="18"/>
                <w:szCs w:val="18"/>
                <w:lang w:eastAsia="en-US"/>
              </w:rPr>
              <w:t xml:space="preserve">(e.g. for training and study activities, meetings, workshops and seminars). </w:t>
            </w:r>
            <w:r w:rsidRPr="00925F71">
              <w:rPr>
                <w:kern w:val="0"/>
                <w:sz w:val="18"/>
                <w:szCs w:val="18"/>
                <w:lang w:eastAsia="en-GB"/>
              </w:rPr>
              <w:t>These costs are supposed to cover mobility activities of limited duration.</w:t>
            </w:r>
          </w:p>
          <w:p w14:paraId="5C22A440" w14:textId="77777777" w:rsidR="006B4648" w:rsidRPr="00925F71" w:rsidRDefault="006B4648" w:rsidP="00ED48D9">
            <w:pPr>
              <w:widowControl/>
              <w:suppressAutoHyphens w:val="0"/>
              <w:autoSpaceDN/>
              <w:spacing w:line="276" w:lineRule="auto"/>
              <w:jc w:val="both"/>
              <w:textAlignment w:val="auto"/>
              <w:rPr>
                <w:kern w:val="0"/>
                <w:sz w:val="18"/>
                <w:szCs w:val="18"/>
                <w:lang w:eastAsia="en-GB"/>
              </w:rPr>
            </w:pPr>
            <w:r w:rsidRPr="00925F71">
              <w:rPr>
                <w:kern w:val="0"/>
                <w:sz w:val="18"/>
                <w:szCs w:val="18"/>
                <w:lang w:eastAsia="en-GB"/>
              </w:rPr>
              <w:t>(max 3 months)</w:t>
            </w:r>
            <w:r w:rsidRPr="00925F71">
              <w:rPr>
                <w:rStyle w:val="DipnotBavurusu"/>
                <w:kern w:val="0"/>
                <w:sz w:val="18"/>
                <w:szCs w:val="18"/>
                <w:lang w:eastAsia="en-GB"/>
              </w:rPr>
              <w:t xml:space="preserve"> </w:t>
            </w:r>
            <w:r w:rsidRPr="00925F71">
              <w:rPr>
                <w:rStyle w:val="DipnotBavurusu"/>
                <w:kern w:val="0"/>
                <w:sz w:val="18"/>
                <w:szCs w:val="18"/>
                <w:lang w:eastAsia="en-GB"/>
              </w:rPr>
              <w:footnoteReference w:id="12"/>
            </w:r>
            <w:r w:rsidRPr="00925F71">
              <w:rPr>
                <w:kern w:val="0"/>
                <w:sz w:val="18"/>
                <w:szCs w:val="18"/>
                <w:lang w:eastAsia="en-GB"/>
              </w:rPr>
              <w:t>.</w:t>
            </w:r>
          </w:p>
        </w:tc>
      </w:tr>
      <w:tr w:rsidR="006B4648" w:rsidRPr="001A605D" w14:paraId="4E7C583C" w14:textId="77777777" w:rsidTr="00ED48D9">
        <w:trPr>
          <w:trHeight w:val="1157"/>
        </w:trPr>
        <w:tc>
          <w:tcPr>
            <w:tcW w:w="1435" w:type="dxa"/>
          </w:tcPr>
          <w:p w14:paraId="0FA5799D" w14:textId="77777777" w:rsidR="006B4648" w:rsidRPr="00925F71" w:rsidRDefault="006B4648" w:rsidP="00ED48D9">
            <w:pPr>
              <w:widowControl/>
              <w:suppressAutoHyphens w:val="0"/>
              <w:autoSpaceDN/>
              <w:spacing w:after="200" w:line="276" w:lineRule="auto"/>
              <w:ind w:right="-62"/>
              <w:contextualSpacing/>
              <w:textAlignment w:val="auto"/>
              <w:rPr>
                <w:b/>
                <w:kern w:val="0"/>
                <w:sz w:val="18"/>
                <w:szCs w:val="18"/>
                <w:lang w:eastAsia="en-US"/>
              </w:rPr>
            </w:pPr>
            <w:r w:rsidRPr="00925F71">
              <w:rPr>
                <w:b/>
                <w:kern w:val="0"/>
                <w:sz w:val="18"/>
                <w:szCs w:val="18"/>
                <w:lang w:eastAsia="en-US"/>
              </w:rPr>
              <w:t>1.4 Equipment</w:t>
            </w:r>
          </w:p>
        </w:tc>
        <w:tc>
          <w:tcPr>
            <w:tcW w:w="2398" w:type="dxa"/>
          </w:tcPr>
          <w:p w14:paraId="5A3737C0" w14:textId="77777777" w:rsidR="006B4648" w:rsidRPr="00925F71" w:rsidRDefault="006B4648" w:rsidP="00ED48D9">
            <w:pPr>
              <w:widowControl/>
              <w:suppressAutoHyphens w:val="0"/>
              <w:autoSpaceDE w:val="0"/>
              <w:adjustRightInd w:val="0"/>
              <w:jc w:val="both"/>
              <w:textAlignment w:val="auto"/>
              <w:rPr>
                <w:rFonts w:ascii="Calibri" w:hAnsi="Calibri" w:cs="Calibri"/>
                <w:color w:val="000000"/>
                <w:kern w:val="0"/>
                <w:sz w:val="18"/>
                <w:szCs w:val="18"/>
                <w:lang w:eastAsia="en-US"/>
              </w:rPr>
            </w:pPr>
            <w:r w:rsidRPr="00925F71">
              <w:rPr>
                <w:rFonts w:ascii="Calibri" w:hAnsi="Calibri" w:cs="Calibri"/>
                <w:color w:val="000000"/>
                <w:kern w:val="0"/>
                <w:sz w:val="18"/>
                <w:szCs w:val="18"/>
                <w:lang w:eastAsia="en-US"/>
              </w:rPr>
              <w:t xml:space="preserve">Depreciation costs of equipment or other assets (new or second hand) provided they are actually incurred by the participating higher education institutions. </w:t>
            </w:r>
          </w:p>
        </w:tc>
        <w:tc>
          <w:tcPr>
            <w:tcW w:w="1200" w:type="dxa"/>
          </w:tcPr>
          <w:p w14:paraId="1362B80A"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1184" w:type="dxa"/>
          </w:tcPr>
          <w:p w14:paraId="4D3B11B4" w14:textId="77777777" w:rsidR="006B4648" w:rsidRPr="00925F71"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Maximum 5% of total direct eligible costs</w:t>
            </w:r>
          </w:p>
        </w:tc>
        <w:tc>
          <w:tcPr>
            <w:tcW w:w="3071" w:type="dxa"/>
          </w:tcPr>
          <w:p w14:paraId="6E22F776" w14:textId="77777777" w:rsidR="006B4648" w:rsidRPr="00925F71" w:rsidRDefault="006B4648" w:rsidP="00ED48D9">
            <w:pPr>
              <w:widowControl/>
              <w:suppressAutoHyphens w:val="0"/>
              <w:autoSpaceDN/>
              <w:spacing w:line="276" w:lineRule="auto"/>
              <w:jc w:val="both"/>
              <w:textAlignment w:val="auto"/>
              <w:rPr>
                <w:kern w:val="0"/>
                <w:sz w:val="18"/>
                <w:szCs w:val="18"/>
                <w:lang w:eastAsia="en-GB"/>
              </w:rPr>
            </w:pPr>
            <w:r w:rsidRPr="00925F71">
              <w:rPr>
                <w:kern w:val="0"/>
                <w:sz w:val="18"/>
                <w:szCs w:val="18"/>
                <w:lang w:eastAsia="en-GB"/>
              </w:rPr>
              <w:t>Only the portion of the equipment's depreciation, rental and lease costs are eligible, for the part that corresponds to the duration of the funding period and to the rate of actual use,</w:t>
            </w:r>
            <w:r w:rsidRPr="00925F71">
              <w:rPr>
                <w:rFonts w:ascii="Calibri" w:hAnsi="Calibri" w:cs="Calibri"/>
                <w:color w:val="000000"/>
                <w:kern w:val="0"/>
                <w:sz w:val="18"/>
                <w:szCs w:val="18"/>
                <w:lang w:eastAsia="en-US"/>
              </w:rPr>
              <w:t xml:space="preserve"> </w:t>
            </w:r>
            <w:r w:rsidRPr="00925F71">
              <w:rPr>
                <w:kern w:val="0"/>
                <w:sz w:val="18"/>
                <w:szCs w:val="18"/>
                <w:lang w:eastAsia="en-GB"/>
              </w:rPr>
              <w:t>for the purpose of the action. Only depreciation costs for e</w:t>
            </w:r>
            <w:r w:rsidRPr="00925F71">
              <w:rPr>
                <w:rFonts w:ascii="Calibri" w:hAnsi="Calibri" w:cs="Calibri"/>
                <w:color w:val="000000"/>
                <w:kern w:val="0"/>
                <w:sz w:val="18"/>
                <w:szCs w:val="18"/>
                <w:lang w:eastAsia="en-US"/>
              </w:rPr>
              <w:t>quipment or other assets directly linked to the development of innovative pedagogies, blended and/or work-based learning activities are eligible.</w:t>
            </w:r>
          </w:p>
        </w:tc>
      </w:tr>
      <w:tr w:rsidR="006B4648" w:rsidRPr="001A605D" w14:paraId="41071DCB" w14:textId="77777777" w:rsidTr="00ED48D9">
        <w:trPr>
          <w:trHeight w:val="3774"/>
        </w:trPr>
        <w:tc>
          <w:tcPr>
            <w:tcW w:w="1435" w:type="dxa"/>
          </w:tcPr>
          <w:p w14:paraId="1351E512" w14:textId="77777777" w:rsidR="006B4648" w:rsidRPr="00925F71" w:rsidRDefault="006B4648" w:rsidP="00ED48D9">
            <w:pPr>
              <w:widowControl/>
              <w:suppressAutoHyphens w:val="0"/>
              <w:autoSpaceDN/>
              <w:spacing w:after="200" w:line="276" w:lineRule="auto"/>
              <w:ind w:right="-62"/>
              <w:contextualSpacing/>
              <w:textAlignment w:val="auto"/>
              <w:rPr>
                <w:b/>
                <w:kern w:val="0"/>
                <w:sz w:val="18"/>
                <w:szCs w:val="18"/>
                <w:lang w:eastAsia="en-US"/>
              </w:rPr>
            </w:pPr>
            <w:r w:rsidRPr="00925F71">
              <w:rPr>
                <w:b/>
                <w:kern w:val="0"/>
                <w:sz w:val="18"/>
                <w:szCs w:val="18"/>
                <w:lang w:eastAsia="en-US"/>
              </w:rPr>
              <w:t>1.5 Other costs</w:t>
            </w:r>
          </w:p>
        </w:tc>
        <w:tc>
          <w:tcPr>
            <w:tcW w:w="2398" w:type="dxa"/>
          </w:tcPr>
          <w:p w14:paraId="47CD8CE6" w14:textId="77777777" w:rsidR="006B4648" w:rsidRPr="00925F71" w:rsidRDefault="006B4648" w:rsidP="00ED48D9">
            <w:pPr>
              <w:widowControl/>
              <w:suppressAutoHyphens w:val="0"/>
              <w:autoSpaceDE w:val="0"/>
              <w:adjustRightInd w:val="0"/>
              <w:textAlignment w:val="auto"/>
              <w:rPr>
                <w:rFonts w:ascii="Calibri" w:hAnsi="Calibri" w:cs="Calibri"/>
                <w:color w:val="000000"/>
                <w:kern w:val="0"/>
                <w:sz w:val="18"/>
                <w:szCs w:val="18"/>
                <w:lang w:eastAsia="en-US"/>
              </w:rPr>
            </w:pPr>
            <w:r w:rsidRPr="00925F71">
              <w:rPr>
                <w:rFonts w:ascii="Calibri" w:hAnsi="Calibri" w:cs="Calibri"/>
                <w:color w:val="000000"/>
                <w:kern w:val="0"/>
                <w:sz w:val="18"/>
                <w:szCs w:val="18"/>
                <w:lang w:eastAsia="en-US"/>
              </w:rPr>
              <w:t>Costs linked with:</w:t>
            </w:r>
          </w:p>
          <w:p w14:paraId="33A33796" w14:textId="77777777" w:rsidR="006B4648" w:rsidRPr="00925F71" w:rsidRDefault="006B4648" w:rsidP="006B4648">
            <w:pPr>
              <w:widowControl/>
              <w:numPr>
                <w:ilvl w:val="0"/>
                <w:numId w:val="11"/>
              </w:numPr>
              <w:suppressAutoHyphens w:val="0"/>
              <w:autoSpaceDE w:val="0"/>
              <w:autoSpaceDN/>
              <w:adjustRightInd w:val="0"/>
              <w:textAlignment w:val="auto"/>
              <w:rPr>
                <w:rFonts w:ascii="Calibri" w:hAnsi="Calibri" w:cs="Calibri"/>
                <w:color w:val="000000"/>
                <w:kern w:val="0"/>
                <w:sz w:val="18"/>
                <w:szCs w:val="18"/>
                <w:lang w:eastAsia="en-US"/>
              </w:rPr>
            </w:pPr>
            <w:r w:rsidRPr="00925F71">
              <w:rPr>
                <w:rFonts w:ascii="Calibri" w:hAnsi="Calibri" w:cs="Calibri"/>
                <w:color w:val="000000"/>
                <w:kern w:val="0"/>
                <w:sz w:val="18"/>
                <w:szCs w:val="18"/>
                <w:lang w:eastAsia="en-US"/>
              </w:rPr>
              <w:t>Transfer of best practices to higher education institutions outside the alliance</w:t>
            </w:r>
          </w:p>
          <w:p w14:paraId="17983BC7" w14:textId="77777777" w:rsidR="006B4648" w:rsidRPr="00925F71" w:rsidRDefault="006B4648" w:rsidP="006B4648">
            <w:pPr>
              <w:widowControl/>
              <w:numPr>
                <w:ilvl w:val="0"/>
                <w:numId w:val="11"/>
              </w:numPr>
              <w:suppressAutoHyphens w:val="0"/>
              <w:autoSpaceDE w:val="0"/>
              <w:autoSpaceDN/>
              <w:adjustRightInd w:val="0"/>
              <w:textAlignment w:val="auto"/>
              <w:rPr>
                <w:rFonts w:ascii="Calibri" w:hAnsi="Calibri" w:cs="Calibri"/>
                <w:color w:val="000000"/>
                <w:kern w:val="0"/>
                <w:sz w:val="18"/>
                <w:szCs w:val="18"/>
                <w:lang w:eastAsia="en-US"/>
              </w:rPr>
            </w:pPr>
            <w:r w:rsidRPr="00925F71">
              <w:rPr>
                <w:rFonts w:ascii="Calibri" w:hAnsi="Calibri" w:cs="Calibri"/>
                <w:color w:val="000000"/>
                <w:kern w:val="0"/>
                <w:sz w:val="18"/>
                <w:szCs w:val="18"/>
                <w:lang w:eastAsia="en-US"/>
              </w:rPr>
              <w:t>Dissemination of knowledge and information (e.g.: advertising in the media, promotional materials and activities);</w:t>
            </w:r>
          </w:p>
          <w:p w14:paraId="463A034E" w14:textId="77777777" w:rsidR="006B4648" w:rsidRPr="00925F71" w:rsidRDefault="006B4648" w:rsidP="006B4648">
            <w:pPr>
              <w:widowControl/>
              <w:numPr>
                <w:ilvl w:val="0"/>
                <w:numId w:val="11"/>
              </w:numPr>
              <w:suppressAutoHyphens w:val="0"/>
              <w:autoSpaceDE w:val="0"/>
              <w:autoSpaceDN/>
              <w:adjustRightInd w:val="0"/>
              <w:textAlignment w:val="auto"/>
              <w:rPr>
                <w:rFonts w:ascii="Calibri" w:hAnsi="Calibri" w:cs="Calibri"/>
                <w:color w:val="000000"/>
                <w:kern w:val="0"/>
                <w:sz w:val="18"/>
                <w:szCs w:val="18"/>
                <w:lang w:eastAsia="en-US"/>
              </w:rPr>
            </w:pPr>
            <w:r w:rsidRPr="00925F71">
              <w:rPr>
                <w:rFonts w:ascii="Calibri" w:hAnsi="Calibri" w:cs="Calibri"/>
                <w:color w:val="000000"/>
                <w:kern w:val="0"/>
                <w:sz w:val="18"/>
                <w:szCs w:val="18"/>
                <w:lang w:eastAsia="en-US"/>
              </w:rPr>
              <w:t xml:space="preserve">Renting of premises for major events </w:t>
            </w:r>
          </w:p>
          <w:p w14:paraId="3A9DA226" w14:textId="77777777" w:rsidR="006B4648" w:rsidRPr="00925F71" w:rsidRDefault="006B4648" w:rsidP="006B4648">
            <w:pPr>
              <w:widowControl/>
              <w:numPr>
                <w:ilvl w:val="0"/>
                <w:numId w:val="11"/>
              </w:numPr>
              <w:suppressAutoHyphens w:val="0"/>
              <w:autoSpaceDE w:val="0"/>
              <w:autoSpaceDN/>
              <w:adjustRightInd w:val="0"/>
              <w:textAlignment w:val="auto"/>
              <w:rPr>
                <w:rFonts w:ascii="Calibri" w:hAnsi="Calibri" w:cs="Calibri"/>
                <w:color w:val="000000"/>
                <w:kern w:val="0"/>
                <w:sz w:val="18"/>
                <w:szCs w:val="18"/>
                <w:lang w:eastAsia="en-US"/>
              </w:rPr>
            </w:pPr>
            <w:r w:rsidRPr="00925F71">
              <w:rPr>
                <w:rFonts w:ascii="Calibri" w:hAnsi="Calibri" w:cs="Calibri"/>
                <w:color w:val="000000"/>
                <w:kern w:val="0"/>
                <w:sz w:val="18"/>
                <w:szCs w:val="18"/>
                <w:lang w:eastAsia="en-US"/>
              </w:rPr>
              <w:t>Audits;</w:t>
            </w:r>
          </w:p>
          <w:p w14:paraId="4C626B56" w14:textId="77777777" w:rsidR="006B4648" w:rsidRPr="00925F71" w:rsidRDefault="006B4648" w:rsidP="006B4648">
            <w:pPr>
              <w:widowControl/>
              <w:numPr>
                <w:ilvl w:val="0"/>
                <w:numId w:val="11"/>
              </w:numPr>
              <w:suppressAutoHyphens w:val="0"/>
              <w:autoSpaceDE w:val="0"/>
              <w:autoSpaceDN/>
              <w:adjustRightInd w:val="0"/>
              <w:textAlignment w:val="auto"/>
              <w:rPr>
                <w:rFonts w:ascii="Calibri" w:hAnsi="Calibri" w:cs="Calibri"/>
                <w:color w:val="000000"/>
                <w:kern w:val="0"/>
                <w:sz w:val="18"/>
                <w:szCs w:val="18"/>
                <w:lang w:eastAsia="en-US"/>
              </w:rPr>
            </w:pPr>
            <w:r w:rsidRPr="00925F71">
              <w:rPr>
                <w:rFonts w:ascii="Calibri" w:hAnsi="Calibri" w:cs="Calibri"/>
                <w:color w:val="000000"/>
                <w:kern w:val="0"/>
                <w:sz w:val="18"/>
                <w:szCs w:val="18"/>
                <w:lang w:eastAsia="en-US"/>
              </w:rPr>
              <w:t>Bank charges including bank guarantee where requested by the Executive Agency;</w:t>
            </w:r>
          </w:p>
          <w:p w14:paraId="76BCB2C8" w14:textId="77777777" w:rsidR="006B4648" w:rsidRPr="00925F71" w:rsidRDefault="006B4648" w:rsidP="006B4648">
            <w:pPr>
              <w:widowControl/>
              <w:numPr>
                <w:ilvl w:val="0"/>
                <w:numId w:val="11"/>
              </w:numPr>
              <w:suppressAutoHyphens w:val="0"/>
              <w:autoSpaceDE w:val="0"/>
              <w:autoSpaceDN/>
              <w:adjustRightInd w:val="0"/>
              <w:textAlignment w:val="auto"/>
              <w:rPr>
                <w:rFonts w:cs="Calibri"/>
                <w:b/>
                <w:color w:val="000000"/>
                <w:kern w:val="0"/>
                <w:sz w:val="18"/>
                <w:szCs w:val="18"/>
                <w:lang w:eastAsia="en-US"/>
              </w:rPr>
            </w:pPr>
            <w:r w:rsidRPr="00925F71">
              <w:rPr>
                <w:rFonts w:ascii="Calibri" w:hAnsi="Calibri" w:cs="Calibri"/>
                <w:color w:val="000000"/>
                <w:kern w:val="0"/>
                <w:sz w:val="18"/>
                <w:szCs w:val="18"/>
                <w:lang w:eastAsia="en-US"/>
              </w:rPr>
              <w:t xml:space="preserve">Subcontracting for specific tasks; </w:t>
            </w:r>
          </w:p>
          <w:p w14:paraId="40239C1E" w14:textId="77777777" w:rsidR="006B4648" w:rsidRPr="00925F71" w:rsidRDefault="006B4648" w:rsidP="006B4648">
            <w:pPr>
              <w:widowControl/>
              <w:numPr>
                <w:ilvl w:val="0"/>
                <w:numId w:val="11"/>
              </w:numPr>
              <w:suppressAutoHyphens w:val="0"/>
              <w:autoSpaceDE w:val="0"/>
              <w:autoSpaceDN/>
              <w:adjustRightInd w:val="0"/>
              <w:textAlignment w:val="auto"/>
              <w:rPr>
                <w:rFonts w:cs="Calibri"/>
                <w:color w:val="000000"/>
                <w:kern w:val="0"/>
                <w:sz w:val="18"/>
                <w:szCs w:val="18"/>
                <w:lang w:eastAsia="en-US"/>
              </w:rPr>
            </w:pPr>
            <w:r w:rsidRPr="00925F71">
              <w:rPr>
                <w:rFonts w:cs="Calibri"/>
                <w:color w:val="000000"/>
                <w:kern w:val="0"/>
                <w:sz w:val="18"/>
                <w:szCs w:val="18"/>
                <w:lang w:eastAsia="en-US"/>
              </w:rPr>
              <w:t xml:space="preserve">Travel and/or subsistence costs of third parties (experts, professors, speakers etc.) contributing to </w:t>
            </w:r>
            <w:r w:rsidRPr="00925F71">
              <w:rPr>
                <w:kern w:val="0"/>
                <w:sz w:val="18"/>
                <w:szCs w:val="18"/>
                <w:lang w:eastAsia="en-GB"/>
              </w:rPr>
              <w:t xml:space="preserve">the European University's </w:t>
            </w:r>
            <w:r w:rsidRPr="00925F71">
              <w:rPr>
                <w:rFonts w:cs="Calibri"/>
                <w:color w:val="000000"/>
                <w:kern w:val="0"/>
                <w:sz w:val="18"/>
                <w:szCs w:val="18"/>
                <w:lang w:eastAsia="en-US"/>
              </w:rPr>
              <w:t>activities</w:t>
            </w:r>
          </w:p>
        </w:tc>
        <w:tc>
          <w:tcPr>
            <w:tcW w:w="1200" w:type="dxa"/>
          </w:tcPr>
          <w:p w14:paraId="3128EF4F"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1184" w:type="dxa"/>
          </w:tcPr>
          <w:p w14:paraId="0A717D53" w14:textId="77777777" w:rsidR="006B4648" w:rsidRPr="00925F71"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Maximum 5% of total direct eligible costs</w:t>
            </w:r>
          </w:p>
        </w:tc>
        <w:tc>
          <w:tcPr>
            <w:tcW w:w="3071" w:type="dxa"/>
          </w:tcPr>
          <w:p w14:paraId="3EE1818A" w14:textId="77777777" w:rsidR="006B4648" w:rsidRPr="00925F71" w:rsidRDefault="006B4648" w:rsidP="00ED48D9">
            <w:pPr>
              <w:widowControl/>
              <w:suppressAutoHyphens w:val="0"/>
              <w:autoSpaceDE w:val="0"/>
              <w:adjustRightInd w:val="0"/>
              <w:jc w:val="both"/>
              <w:textAlignment w:val="auto"/>
              <w:rPr>
                <w:rFonts w:ascii="Calibri" w:hAnsi="Calibri" w:cs="Calibri"/>
                <w:color w:val="000000"/>
                <w:kern w:val="0"/>
                <w:sz w:val="18"/>
                <w:szCs w:val="18"/>
                <w:lang w:eastAsia="en-US"/>
              </w:rPr>
            </w:pPr>
            <w:r w:rsidRPr="00925F71">
              <w:rPr>
                <w:rFonts w:ascii="Calibri" w:hAnsi="Calibri" w:cs="Calibri"/>
                <w:color w:val="000000"/>
                <w:kern w:val="0"/>
                <w:sz w:val="18"/>
                <w:szCs w:val="18"/>
                <w:lang w:eastAsia="en-US"/>
              </w:rPr>
              <w:t xml:space="preserve">Subcontracting is possible only in justified cases for specific, time-bound, project-related tasks, when these cannot be performed by the consortium members themselves or where the nature of the activity specifically requires external services. Subcontracting of core project activities such as teaching and/or project management (general management and coordination, monitoring, financial management, reporting to EACEA) is not possible. </w:t>
            </w:r>
          </w:p>
          <w:p w14:paraId="6C33614C" w14:textId="77777777" w:rsidR="006B4648" w:rsidRPr="00925F71" w:rsidRDefault="006B4648" w:rsidP="00ED48D9">
            <w:pPr>
              <w:widowControl/>
              <w:suppressAutoHyphens w:val="0"/>
              <w:autoSpaceDE w:val="0"/>
              <w:adjustRightInd w:val="0"/>
              <w:jc w:val="both"/>
              <w:textAlignment w:val="auto"/>
              <w:rPr>
                <w:rFonts w:ascii="Calibri" w:hAnsi="Calibri" w:cs="Calibri"/>
                <w:color w:val="000000"/>
                <w:kern w:val="0"/>
                <w:sz w:val="18"/>
                <w:szCs w:val="18"/>
                <w:lang w:eastAsia="en-US"/>
              </w:rPr>
            </w:pPr>
          </w:p>
          <w:p w14:paraId="0A289C78" w14:textId="77777777" w:rsidR="006B4648" w:rsidRPr="00925F71" w:rsidRDefault="006B4648" w:rsidP="00ED48D9">
            <w:pPr>
              <w:widowControl/>
              <w:suppressAutoHyphens w:val="0"/>
              <w:autoSpaceDE w:val="0"/>
              <w:adjustRightInd w:val="0"/>
              <w:jc w:val="both"/>
              <w:textAlignment w:val="auto"/>
              <w:rPr>
                <w:sz w:val="18"/>
                <w:szCs w:val="18"/>
              </w:rPr>
            </w:pPr>
            <w:r w:rsidRPr="00925F71">
              <w:rPr>
                <w:rFonts w:ascii="Calibri" w:hAnsi="Calibri" w:cs="Calibri"/>
                <w:color w:val="000000"/>
                <w:kern w:val="0"/>
                <w:sz w:val="18"/>
                <w:szCs w:val="18"/>
                <w:lang w:eastAsia="en-US"/>
              </w:rPr>
              <w:t>Staff members of co-beneficiaries are not allowed to operate in a subcontracting capacity.</w:t>
            </w:r>
            <w:r w:rsidRPr="00925F71">
              <w:rPr>
                <w:sz w:val="18"/>
                <w:szCs w:val="18"/>
              </w:rPr>
              <w:t xml:space="preserve"> </w:t>
            </w:r>
          </w:p>
          <w:p w14:paraId="530764CF" w14:textId="77777777" w:rsidR="006B4648" w:rsidRPr="00925F71" w:rsidRDefault="006B4648" w:rsidP="00ED48D9">
            <w:pPr>
              <w:widowControl/>
              <w:suppressAutoHyphens w:val="0"/>
              <w:autoSpaceDE w:val="0"/>
              <w:adjustRightInd w:val="0"/>
              <w:jc w:val="both"/>
              <w:textAlignment w:val="auto"/>
              <w:rPr>
                <w:sz w:val="18"/>
                <w:szCs w:val="18"/>
              </w:rPr>
            </w:pPr>
          </w:p>
          <w:p w14:paraId="5DB34266" w14:textId="77777777" w:rsidR="006B4648" w:rsidRPr="00925F71" w:rsidRDefault="006B4648" w:rsidP="00ED48D9">
            <w:pPr>
              <w:widowControl/>
              <w:suppressAutoHyphens w:val="0"/>
              <w:autoSpaceDE w:val="0"/>
              <w:adjustRightInd w:val="0"/>
              <w:jc w:val="both"/>
              <w:textAlignment w:val="auto"/>
              <w:rPr>
                <w:rFonts w:cs="Calibri"/>
                <w:b/>
                <w:color w:val="000000"/>
                <w:kern w:val="0"/>
                <w:sz w:val="18"/>
                <w:szCs w:val="18"/>
                <w:lang w:eastAsia="en-US"/>
              </w:rPr>
            </w:pPr>
            <w:r w:rsidRPr="00925F71">
              <w:rPr>
                <w:rFonts w:ascii="Calibri" w:hAnsi="Calibri" w:cs="Calibri"/>
                <w:color w:val="000000"/>
                <w:kern w:val="0"/>
                <w:sz w:val="18"/>
                <w:szCs w:val="18"/>
                <w:lang w:eastAsia="en-US"/>
              </w:rPr>
              <w:t>Travel and subsistence costs for people not belonging to one of the partner organisations can be co-funded when these persons are invited by the consortium to take part to the core activities of the European University.</w:t>
            </w:r>
          </w:p>
        </w:tc>
      </w:tr>
      <w:tr w:rsidR="006B4648" w:rsidRPr="00925F71" w14:paraId="10F0EC77" w14:textId="77777777" w:rsidTr="00ED48D9">
        <w:tc>
          <w:tcPr>
            <w:tcW w:w="1435" w:type="dxa"/>
            <w:shd w:val="clear" w:color="auto" w:fill="F2F2F2" w:themeFill="background1" w:themeFillShade="F2"/>
          </w:tcPr>
          <w:p w14:paraId="490ECD50" w14:textId="77777777" w:rsidR="006B4648" w:rsidRPr="00925F71" w:rsidDel="00DE61EB" w:rsidRDefault="006B4648" w:rsidP="00ED48D9">
            <w:pPr>
              <w:widowControl/>
              <w:suppressAutoHyphens w:val="0"/>
              <w:autoSpaceDN/>
              <w:spacing w:line="276" w:lineRule="auto"/>
              <w:textAlignment w:val="auto"/>
              <w:rPr>
                <w:b/>
                <w:kern w:val="0"/>
                <w:sz w:val="18"/>
                <w:szCs w:val="18"/>
                <w:lang w:eastAsia="en-GB"/>
              </w:rPr>
            </w:pPr>
            <w:r w:rsidRPr="00925F71">
              <w:rPr>
                <w:b/>
                <w:kern w:val="0"/>
                <w:sz w:val="18"/>
                <w:szCs w:val="18"/>
                <w:lang w:eastAsia="en-GB"/>
              </w:rPr>
              <w:t>2. INDIRECT COSTS</w:t>
            </w:r>
          </w:p>
        </w:tc>
        <w:tc>
          <w:tcPr>
            <w:tcW w:w="2398" w:type="dxa"/>
            <w:shd w:val="clear" w:color="auto" w:fill="F2F2F2" w:themeFill="background1" w:themeFillShade="F2"/>
          </w:tcPr>
          <w:p w14:paraId="57E7445D" w14:textId="77777777" w:rsidR="006B4648" w:rsidRPr="00925F71" w:rsidRDefault="006B4648" w:rsidP="00ED48D9">
            <w:pPr>
              <w:widowControl/>
              <w:suppressAutoHyphens w:val="0"/>
              <w:autoSpaceDN/>
              <w:spacing w:after="200" w:line="276" w:lineRule="auto"/>
              <w:ind w:left="176"/>
              <w:contextualSpacing/>
              <w:textAlignment w:val="auto"/>
              <w:rPr>
                <w:kern w:val="0"/>
                <w:sz w:val="18"/>
                <w:szCs w:val="18"/>
                <w:lang w:eastAsia="en-US"/>
              </w:rPr>
            </w:pPr>
          </w:p>
        </w:tc>
        <w:tc>
          <w:tcPr>
            <w:tcW w:w="1200" w:type="dxa"/>
            <w:shd w:val="clear" w:color="auto" w:fill="F2F2F2" w:themeFill="background1" w:themeFillShade="F2"/>
          </w:tcPr>
          <w:p w14:paraId="5E367681" w14:textId="77777777" w:rsidR="006B4648" w:rsidRPr="00925F71" w:rsidRDefault="006B4648" w:rsidP="00ED48D9">
            <w:pPr>
              <w:widowControl/>
              <w:suppressAutoHyphens w:val="0"/>
              <w:autoSpaceDN/>
              <w:spacing w:line="276" w:lineRule="auto"/>
              <w:textAlignment w:val="auto"/>
              <w:rPr>
                <w:kern w:val="0"/>
                <w:sz w:val="18"/>
                <w:szCs w:val="18"/>
                <w:lang w:eastAsia="en-GB"/>
              </w:rPr>
            </w:pPr>
            <w:r w:rsidRPr="00925F71">
              <w:rPr>
                <w:kern w:val="0"/>
                <w:sz w:val="18"/>
                <w:szCs w:val="18"/>
                <w:lang w:eastAsia="en-GB"/>
              </w:rPr>
              <w:t>up to a maximum of  7% of the total direct eligible costs of the action</w:t>
            </w:r>
            <w:r w:rsidRPr="00925F71">
              <w:rPr>
                <w:rStyle w:val="DipnotBavurusu"/>
                <w:kern w:val="0"/>
                <w:sz w:val="18"/>
                <w:szCs w:val="18"/>
                <w:lang w:eastAsia="en-GB"/>
              </w:rPr>
              <w:footnoteReference w:id="13"/>
            </w:r>
            <w:r w:rsidRPr="00925F71">
              <w:rPr>
                <w:kern w:val="0"/>
                <w:sz w:val="18"/>
                <w:szCs w:val="18"/>
                <w:lang w:eastAsia="en-GB"/>
              </w:rPr>
              <w:t>.</w:t>
            </w:r>
          </w:p>
        </w:tc>
        <w:tc>
          <w:tcPr>
            <w:tcW w:w="1184" w:type="dxa"/>
            <w:shd w:val="clear" w:color="auto" w:fill="F2F2F2" w:themeFill="background1" w:themeFillShade="F2"/>
          </w:tcPr>
          <w:p w14:paraId="6A6D2115" w14:textId="77777777" w:rsidR="006B4648" w:rsidRPr="00925F71" w:rsidRDefault="006B4648" w:rsidP="00ED48D9">
            <w:pPr>
              <w:widowControl/>
              <w:suppressAutoHyphens w:val="0"/>
              <w:autoSpaceDN/>
              <w:spacing w:line="276" w:lineRule="auto"/>
              <w:textAlignment w:val="auto"/>
              <w:rPr>
                <w:b/>
                <w:kern w:val="0"/>
                <w:sz w:val="18"/>
                <w:szCs w:val="18"/>
                <w:lang w:eastAsia="en-GB"/>
              </w:rPr>
            </w:pPr>
          </w:p>
        </w:tc>
        <w:tc>
          <w:tcPr>
            <w:tcW w:w="3071" w:type="dxa"/>
            <w:shd w:val="clear" w:color="auto" w:fill="F2F2F2" w:themeFill="background1" w:themeFillShade="F2"/>
          </w:tcPr>
          <w:p w14:paraId="779B03E2" w14:textId="77777777" w:rsidR="006B4648" w:rsidRPr="00925F71" w:rsidDel="00EA174D" w:rsidRDefault="006B4648" w:rsidP="00ED48D9">
            <w:pPr>
              <w:widowControl/>
              <w:suppressAutoHyphens w:val="0"/>
              <w:autoSpaceDN/>
              <w:spacing w:line="276" w:lineRule="auto"/>
              <w:textAlignment w:val="auto"/>
              <w:rPr>
                <w:kern w:val="0"/>
                <w:sz w:val="18"/>
                <w:szCs w:val="18"/>
                <w:lang w:eastAsia="en-GB"/>
              </w:rPr>
            </w:pPr>
            <w:r w:rsidRPr="00925F71">
              <w:rPr>
                <w:kern w:val="0"/>
                <w:sz w:val="18"/>
                <w:szCs w:val="18"/>
                <w:lang w:eastAsia="en-GB"/>
              </w:rPr>
              <w:t>Flat rate</w:t>
            </w:r>
          </w:p>
        </w:tc>
      </w:tr>
    </w:tbl>
    <w:p w14:paraId="05AC5259" w14:textId="1428B79A" w:rsidR="006B4648" w:rsidRDefault="006B4648" w:rsidP="006B4648"/>
    <w:p w14:paraId="791848ED" w14:textId="1D3B5893" w:rsidR="00FC3841" w:rsidRPr="00FC3841" w:rsidRDefault="00FC3841" w:rsidP="006B4648">
      <w:pPr>
        <w:rPr>
          <w:b/>
        </w:rPr>
      </w:pPr>
      <w:r w:rsidRPr="00FC3841">
        <w:rPr>
          <w:b/>
        </w:rPr>
        <w:lastRenderedPageBreak/>
        <w:t>For more information:</w:t>
      </w:r>
    </w:p>
    <w:p w14:paraId="6AFB5122" w14:textId="77777777" w:rsidR="00FC3841" w:rsidRDefault="00FC3841" w:rsidP="00FC3841">
      <w:pPr>
        <w:rPr>
          <w:rFonts w:eastAsiaTheme="minorHAnsi" w:cs="Calibri"/>
          <w:color w:val="1F497D"/>
          <w:kern w:val="0"/>
          <w:sz w:val="22"/>
          <w:szCs w:val="22"/>
          <w:lang w:val="tr-TR" w:eastAsia="en-US"/>
        </w:rPr>
      </w:pPr>
    </w:p>
    <w:p w14:paraId="46647D29" w14:textId="77777777" w:rsidR="00FC3841" w:rsidRDefault="00926129" w:rsidP="00FC3841">
      <w:pPr>
        <w:rPr>
          <w:color w:val="1F497D"/>
        </w:rPr>
      </w:pPr>
      <w:hyperlink r:id="rId7" w:history="1">
        <w:r w:rsidR="00FC3841">
          <w:rPr>
            <w:rStyle w:val="Kpr"/>
          </w:rPr>
          <w:t>https://ec.europa.eu/education/education-in-the-eu/european-education-area/european-universities-initiative_en</w:t>
        </w:r>
      </w:hyperlink>
    </w:p>
    <w:p w14:paraId="182278D2" w14:textId="77777777" w:rsidR="00FC3841" w:rsidRDefault="00926129" w:rsidP="00FC3841">
      <w:pPr>
        <w:rPr>
          <w:color w:val="1F497D"/>
        </w:rPr>
      </w:pPr>
      <w:hyperlink r:id="rId8" w:history="1">
        <w:r w:rsidR="00FC3841">
          <w:rPr>
            <w:rStyle w:val="Kpr"/>
          </w:rPr>
          <w:t>https://eacea.ec.europa.eu/erasmus-plus/funding/key-action2-european-universities-2019_en</w:t>
        </w:r>
      </w:hyperlink>
    </w:p>
    <w:p w14:paraId="6BAD14B4" w14:textId="77777777" w:rsidR="00D2510E" w:rsidRPr="006B4648" w:rsidRDefault="00D2510E" w:rsidP="006B4648"/>
    <w:sectPr w:rsidR="00D2510E" w:rsidRPr="006B464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DF889A" w14:textId="77777777" w:rsidR="00926129" w:rsidRDefault="00926129" w:rsidP="006B4648">
      <w:r>
        <w:separator/>
      </w:r>
    </w:p>
  </w:endnote>
  <w:endnote w:type="continuationSeparator" w:id="0">
    <w:p w14:paraId="6E24881E" w14:textId="77777777" w:rsidR="00926129" w:rsidRDefault="00926129" w:rsidP="006B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 w:name="DengXian">
    <w:altName w:val="等线"/>
    <w:charset w:val="86"/>
    <w:family w:val="auto"/>
    <w:pitch w:val="variable"/>
    <w:sig w:usb0="00000000"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5694349"/>
      <w:docPartObj>
        <w:docPartGallery w:val="Page Numbers (Bottom of Page)"/>
        <w:docPartUnique/>
      </w:docPartObj>
    </w:sdtPr>
    <w:sdtEndPr>
      <w:rPr>
        <w:noProof/>
      </w:rPr>
    </w:sdtEndPr>
    <w:sdtContent>
      <w:p w14:paraId="326E8978" w14:textId="7C0768D3" w:rsidR="00640710" w:rsidRDefault="00640710">
        <w:pPr>
          <w:pStyle w:val="Altbilgi"/>
          <w:jc w:val="center"/>
        </w:pPr>
        <w:r>
          <w:fldChar w:fldCharType="begin"/>
        </w:r>
        <w:r>
          <w:instrText xml:space="preserve"> PAGE   \* MERGEFORMAT </w:instrText>
        </w:r>
        <w:r>
          <w:fldChar w:fldCharType="separate"/>
        </w:r>
        <w:r w:rsidR="00EC271F">
          <w:rPr>
            <w:noProof/>
          </w:rPr>
          <w:t>1</w:t>
        </w:r>
        <w:r>
          <w:rPr>
            <w:noProof/>
          </w:rPr>
          <w:fldChar w:fldCharType="end"/>
        </w:r>
      </w:p>
    </w:sdtContent>
  </w:sdt>
  <w:p w14:paraId="13974D46" w14:textId="77777777" w:rsidR="00640710" w:rsidRDefault="0064071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2FD821" w14:textId="77777777" w:rsidR="00926129" w:rsidRDefault="00926129" w:rsidP="006B4648">
      <w:r>
        <w:separator/>
      </w:r>
    </w:p>
  </w:footnote>
  <w:footnote w:type="continuationSeparator" w:id="0">
    <w:p w14:paraId="29CE7038" w14:textId="77777777" w:rsidR="00926129" w:rsidRDefault="00926129" w:rsidP="006B4648">
      <w:r>
        <w:continuationSeparator/>
      </w:r>
    </w:p>
  </w:footnote>
  <w:footnote w:id="1">
    <w:p w14:paraId="3EDFCDE4" w14:textId="77777777" w:rsidR="006B4648" w:rsidRPr="00640710" w:rsidRDefault="006B4648" w:rsidP="006B4648">
      <w:pPr>
        <w:rPr>
          <w:rFonts w:asciiTheme="minorHAnsi" w:hAnsiTheme="minorHAnsi"/>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 xml:space="preserve"> </w:t>
      </w:r>
      <w:hyperlink r:id="rId1" w:history="1">
        <w:r w:rsidRPr="00640710">
          <w:rPr>
            <w:rStyle w:val="Kpr"/>
            <w:rFonts w:asciiTheme="minorHAnsi" w:hAnsiTheme="minorHAnsi"/>
            <w:sz w:val="14"/>
            <w:szCs w:val="14"/>
          </w:rPr>
          <w:t>http://www.consilium.europa.eu/media/32204/14-final-conclusions-rev1-en.pdf</w:t>
        </w:r>
      </w:hyperlink>
      <w:r w:rsidRPr="00640710">
        <w:rPr>
          <w:rFonts w:asciiTheme="minorHAnsi" w:hAnsiTheme="minorHAnsi"/>
          <w:sz w:val="14"/>
          <w:szCs w:val="14"/>
        </w:rPr>
        <w:t xml:space="preserve"> </w:t>
      </w:r>
    </w:p>
  </w:footnote>
  <w:footnote w:id="2">
    <w:p w14:paraId="2AEA6817" w14:textId="77777777" w:rsidR="006B4648" w:rsidRPr="00640710" w:rsidRDefault="006B4648" w:rsidP="006B4648">
      <w:pPr>
        <w:rPr>
          <w:rFonts w:asciiTheme="minorHAnsi" w:hAnsiTheme="minorHAnsi"/>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 xml:space="preserve"> </w:t>
      </w:r>
      <w:hyperlink r:id="rId2" w:history="1">
        <w:r w:rsidRPr="00640710">
          <w:rPr>
            <w:rStyle w:val="Kpr"/>
            <w:rFonts w:asciiTheme="minorHAnsi" w:hAnsiTheme="minorHAnsi"/>
            <w:sz w:val="14"/>
            <w:szCs w:val="14"/>
          </w:rPr>
          <w:t>http://data.consilium.europa.eu/doc/document/ST-8701-2018-INIT/en/pdf</w:t>
        </w:r>
      </w:hyperlink>
      <w:r w:rsidRPr="00640710">
        <w:rPr>
          <w:rFonts w:asciiTheme="minorHAnsi" w:hAnsiTheme="minorHAnsi"/>
          <w:sz w:val="14"/>
          <w:szCs w:val="14"/>
        </w:rPr>
        <w:t xml:space="preserve"> </w:t>
      </w:r>
    </w:p>
  </w:footnote>
  <w:footnote w:id="3">
    <w:p w14:paraId="7DA80009" w14:textId="77777777" w:rsidR="006B4648" w:rsidRPr="00640710" w:rsidRDefault="006B4648" w:rsidP="006B4648">
      <w:pPr>
        <w:pStyle w:val="DipnotMetni"/>
        <w:rPr>
          <w:rFonts w:asciiTheme="minorHAnsi" w:hAnsiTheme="minorHAnsi"/>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 xml:space="preserve"> </w:t>
      </w:r>
      <w:r w:rsidRPr="00640710">
        <w:rPr>
          <w:rFonts w:asciiTheme="minorHAnsi" w:eastAsiaTheme="minorHAnsi" w:hAnsiTheme="minorHAnsi"/>
          <w:smallCaps w:val="0"/>
          <w:sz w:val="14"/>
          <w:szCs w:val="14"/>
          <w:lang w:eastAsia="en-GB"/>
        </w:rPr>
        <w:t>According to the European Council conclusions of 28 June 2018, "cooperation between research, innovation and education should be encouraged, including through the European Universities initiative".</w:t>
      </w:r>
    </w:p>
  </w:footnote>
  <w:footnote w:id="4">
    <w:p w14:paraId="311656A0" w14:textId="77777777" w:rsidR="006B4648" w:rsidRPr="00640710" w:rsidRDefault="006B4648" w:rsidP="006B4648">
      <w:pPr>
        <w:pStyle w:val="DipnotMetni"/>
        <w:rPr>
          <w:sz w:val="14"/>
          <w:szCs w:val="14"/>
        </w:rPr>
      </w:pPr>
      <w:r w:rsidRPr="00640710">
        <w:rPr>
          <w:rStyle w:val="DipnotBavurusu"/>
          <w:rFonts w:asciiTheme="minorHAnsi" w:eastAsia="SimSun" w:hAnsiTheme="minorHAnsi" w:cs="Tahoma"/>
          <w:smallCaps w:val="0"/>
          <w:kern w:val="3"/>
          <w:sz w:val="14"/>
          <w:szCs w:val="14"/>
        </w:rPr>
        <w:footnoteRef/>
      </w:r>
      <w:r w:rsidRPr="00640710">
        <w:rPr>
          <w:rStyle w:val="DipnotBavurusu"/>
          <w:rFonts w:asciiTheme="minorHAnsi" w:eastAsia="SimSun" w:hAnsiTheme="minorHAnsi" w:cs="Tahoma"/>
          <w:smallCaps w:val="0"/>
          <w:kern w:val="3"/>
          <w:sz w:val="14"/>
          <w:szCs w:val="14"/>
        </w:rPr>
        <w:t xml:space="preserve"> </w:t>
      </w:r>
      <w:r w:rsidRPr="00640710">
        <w:rPr>
          <w:rFonts w:asciiTheme="minorHAnsi" w:eastAsia="SimSun" w:hAnsiTheme="minorHAnsi" w:cs="Tahoma"/>
          <w:smallCaps w:val="0"/>
          <w:kern w:val="3"/>
          <w:sz w:val="14"/>
          <w:szCs w:val="14"/>
        </w:rPr>
        <w:t xml:space="preserve">COM(2018) 268 final </w:t>
      </w:r>
      <w:hyperlink r:id="rId3" w:history="1">
        <w:r w:rsidRPr="00640710">
          <w:rPr>
            <w:rStyle w:val="Kpr"/>
            <w:rFonts w:asciiTheme="minorHAnsi" w:eastAsia="SimSun" w:hAnsiTheme="minorHAnsi" w:cs="Tahoma"/>
            <w:smallCaps w:val="0"/>
            <w:kern w:val="3"/>
            <w:sz w:val="14"/>
            <w:szCs w:val="14"/>
          </w:rPr>
          <w:t>https://ec.europa.eu/education/sites/education/files/combuildingastrongereurope_en_act_part1_v7.pdf</w:t>
        </w:r>
      </w:hyperlink>
      <w:r w:rsidRPr="00640710">
        <w:rPr>
          <w:rFonts w:asciiTheme="minorHAnsi" w:eastAsia="SimSun" w:hAnsiTheme="minorHAnsi" w:cs="Tahoma"/>
          <w:smallCaps w:val="0"/>
          <w:kern w:val="3"/>
          <w:sz w:val="14"/>
          <w:szCs w:val="14"/>
        </w:rPr>
        <w:t xml:space="preserve"> </w:t>
      </w:r>
    </w:p>
  </w:footnote>
  <w:footnote w:id="5">
    <w:p w14:paraId="41060D9E" w14:textId="77777777" w:rsidR="006B4648" w:rsidRPr="00640710" w:rsidRDefault="006B4648" w:rsidP="006B4648">
      <w:pPr>
        <w:rPr>
          <w:rFonts w:asciiTheme="minorHAnsi" w:hAnsiTheme="minorHAnsi"/>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 xml:space="preserve"> COM(2018)270 </w:t>
      </w:r>
      <w:hyperlink r:id="rId4" w:history="1">
        <w:r w:rsidRPr="00640710">
          <w:rPr>
            <w:rStyle w:val="Kpr"/>
            <w:rFonts w:asciiTheme="minorHAnsi" w:hAnsiTheme="minorHAnsi"/>
            <w:sz w:val="14"/>
            <w:szCs w:val="14"/>
          </w:rPr>
          <w:t>https://ec.europa.eu/education/sites/education/files/recognition_en_act_part1_v6.pdf</w:t>
        </w:r>
      </w:hyperlink>
    </w:p>
  </w:footnote>
  <w:footnote w:id="6">
    <w:p w14:paraId="204549E8" w14:textId="77777777" w:rsidR="006B4648" w:rsidRPr="00640710" w:rsidRDefault="006B4648" w:rsidP="006B4648">
      <w:pPr>
        <w:rPr>
          <w:rFonts w:asciiTheme="minorHAnsi" w:hAnsiTheme="minorHAnsi"/>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 xml:space="preserve"> </w:t>
      </w:r>
      <w:hyperlink r:id="rId5" w:history="1">
        <w:r w:rsidRPr="00640710">
          <w:rPr>
            <w:rStyle w:val="Kpr"/>
            <w:rFonts w:asciiTheme="minorHAnsi" w:hAnsiTheme="minorHAnsi"/>
            <w:sz w:val="14"/>
            <w:szCs w:val="14"/>
          </w:rPr>
          <w:t>https://ec.europa.eu/education/european-student-card-initiative_en</w:t>
        </w:r>
      </w:hyperlink>
      <w:r w:rsidRPr="00640710">
        <w:rPr>
          <w:rFonts w:asciiTheme="minorHAnsi" w:hAnsiTheme="minorHAnsi"/>
          <w:sz w:val="14"/>
          <w:szCs w:val="14"/>
        </w:rPr>
        <w:t xml:space="preserve"> </w:t>
      </w:r>
    </w:p>
  </w:footnote>
  <w:footnote w:id="7">
    <w:p w14:paraId="1D310527" w14:textId="77777777" w:rsidR="006B4648" w:rsidRPr="00640710" w:rsidRDefault="006B4648" w:rsidP="006B4648">
      <w:pPr>
        <w:rPr>
          <w:rFonts w:asciiTheme="minorHAnsi" w:hAnsiTheme="minorHAnsi"/>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 xml:space="preserve"> The implementation of the Bologna key commitments is crucial to reinforcing and supporting quality and cooperation:</w:t>
      </w:r>
    </w:p>
    <w:p w14:paraId="7C9F61A9" w14:textId="77777777" w:rsidR="006B4648" w:rsidRPr="00640710" w:rsidRDefault="006B4648" w:rsidP="006B4648">
      <w:pPr>
        <w:rPr>
          <w:rFonts w:asciiTheme="minorHAnsi" w:hAnsiTheme="minorHAnsi"/>
          <w:sz w:val="14"/>
          <w:szCs w:val="14"/>
        </w:rPr>
      </w:pPr>
      <w:r w:rsidRPr="00640710">
        <w:rPr>
          <w:rFonts w:asciiTheme="minorHAnsi" w:hAnsiTheme="minorHAnsi"/>
          <w:sz w:val="14"/>
          <w:szCs w:val="14"/>
        </w:rPr>
        <w:t>- a three-cycle system compatible with the overarching framework of qualifications for higher education and first and second cycle degrees scaled by ECTS</w:t>
      </w:r>
    </w:p>
    <w:p w14:paraId="09728EF4" w14:textId="77777777" w:rsidR="006B4648" w:rsidRPr="00640710" w:rsidRDefault="006B4648" w:rsidP="006B4648">
      <w:pPr>
        <w:rPr>
          <w:rFonts w:asciiTheme="minorHAnsi" w:hAnsiTheme="minorHAnsi"/>
          <w:sz w:val="14"/>
          <w:szCs w:val="14"/>
        </w:rPr>
      </w:pPr>
      <w:r w:rsidRPr="00640710">
        <w:rPr>
          <w:rFonts w:asciiTheme="minorHAnsi" w:hAnsiTheme="minorHAnsi"/>
          <w:sz w:val="14"/>
          <w:szCs w:val="14"/>
        </w:rPr>
        <w:t>- compliance with the Lisbon Recognition Convention</w:t>
      </w:r>
    </w:p>
    <w:p w14:paraId="0AE2D22D" w14:textId="77777777" w:rsidR="006B4648" w:rsidRPr="00640710" w:rsidRDefault="006B4648" w:rsidP="006B4648">
      <w:pPr>
        <w:rPr>
          <w:rFonts w:asciiTheme="minorHAnsi" w:eastAsiaTheme="minorEastAsia" w:hAnsiTheme="minorHAnsi"/>
          <w:b/>
          <w:bCs/>
          <w:noProof/>
          <w:color w:val="000080"/>
          <w:sz w:val="14"/>
          <w:szCs w:val="14"/>
          <w:lang w:eastAsia="en-GB"/>
        </w:rPr>
      </w:pPr>
      <w:r w:rsidRPr="00640710">
        <w:rPr>
          <w:rFonts w:asciiTheme="minorHAnsi" w:hAnsiTheme="minorHAnsi"/>
          <w:sz w:val="14"/>
          <w:szCs w:val="14"/>
        </w:rPr>
        <w:t>- quality assurance in compliance with the Standards and Guidelines for Quality Assurance in the European Higher Education Area</w:t>
      </w:r>
    </w:p>
    <w:p w14:paraId="3AA5D048" w14:textId="77777777" w:rsidR="006B4648" w:rsidRPr="00640710" w:rsidRDefault="006B4648" w:rsidP="006B4648">
      <w:pPr>
        <w:pStyle w:val="DipnotMetni"/>
        <w:tabs>
          <w:tab w:val="left" w:pos="142"/>
        </w:tabs>
        <w:rPr>
          <w:rFonts w:asciiTheme="minorHAnsi" w:hAnsiTheme="minorHAnsi"/>
          <w:sz w:val="16"/>
          <w:szCs w:val="16"/>
        </w:rPr>
      </w:pPr>
    </w:p>
  </w:footnote>
  <w:footnote w:id="8">
    <w:p w14:paraId="06341C06" w14:textId="77777777" w:rsidR="006B4648" w:rsidRPr="00640710" w:rsidRDefault="006B4648" w:rsidP="006B4648">
      <w:pPr>
        <w:rPr>
          <w:rFonts w:asciiTheme="minorHAnsi" w:hAnsiTheme="minorHAnsi"/>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 xml:space="preserve"> </w:t>
      </w:r>
      <w:hyperlink r:id="rId6" w:history="1">
        <w:r w:rsidRPr="00640710">
          <w:rPr>
            <w:rStyle w:val="Kpr"/>
            <w:rFonts w:asciiTheme="minorHAnsi" w:hAnsiTheme="minorHAnsi"/>
            <w:sz w:val="14"/>
            <w:szCs w:val="14"/>
          </w:rPr>
          <w:t>http://www.consilium.europa.eu/media/32204/14-final-conclusions-rev1-en.pdf</w:t>
        </w:r>
      </w:hyperlink>
      <w:r w:rsidRPr="00640710">
        <w:rPr>
          <w:rFonts w:asciiTheme="minorHAnsi" w:hAnsiTheme="minorHAnsi"/>
          <w:sz w:val="14"/>
          <w:szCs w:val="14"/>
        </w:rPr>
        <w:t xml:space="preserve"> </w:t>
      </w:r>
    </w:p>
  </w:footnote>
  <w:footnote w:id="9">
    <w:p w14:paraId="1823B8B2" w14:textId="77777777" w:rsidR="006B4648" w:rsidRPr="00640710" w:rsidRDefault="006B4648" w:rsidP="006B4648">
      <w:pPr>
        <w:rPr>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 xml:space="preserve"> Please refer to the list of European  geographical regions according to the categories set by EuroVoc (the European Union's official multilingual thesaurus managed by the EU Publication office): </w:t>
      </w:r>
      <w:hyperlink r:id="rId7" w:history="1">
        <w:r w:rsidRPr="00640710">
          <w:rPr>
            <w:rStyle w:val="Kpr"/>
            <w:rFonts w:asciiTheme="minorHAnsi" w:hAnsiTheme="minorHAnsi"/>
            <w:sz w:val="14"/>
            <w:szCs w:val="14"/>
          </w:rPr>
          <w:t>http://eurovoc.europa.eu/drupal/?q=request&amp;mturi=http://eurovoc.europa.eu/100277&amp;language=en&amp;view=mt&amp;ifacelang=en</w:t>
        </w:r>
      </w:hyperlink>
      <w:r w:rsidRPr="00640710">
        <w:rPr>
          <w:rFonts w:asciiTheme="minorHAnsi" w:hAnsiTheme="minorHAnsi"/>
          <w:sz w:val="14"/>
          <w:szCs w:val="14"/>
        </w:rPr>
        <w:t xml:space="preserve"> </w:t>
      </w:r>
    </w:p>
  </w:footnote>
  <w:footnote w:id="10">
    <w:p w14:paraId="2D714614" w14:textId="77777777" w:rsidR="006B4648" w:rsidRPr="00640710" w:rsidRDefault="006B4648" w:rsidP="006B4648">
      <w:pPr>
        <w:rPr>
          <w:rFonts w:asciiTheme="minorHAnsi" w:hAnsiTheme="minorHAnsi"/>
          <w:i/>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 xml:space="preserve"> In the European Council Conclusions of 14 December 2017, Head of states and governments supported the emergence </w:t>
      </w:r>
      <w:r w:rsidRPr="00640710">
        <w:rPr>
          <w:rFonts w:asciiTheme="minorHAnsi" w:hAnsiTheme="minorHAnsi"/>
          <w:i/>
          <w:sz w:val="14"/>
          <w:szCs w:val="14"/>
        </w:rPr>
        <w:t>"(…) by 2024 of some twenty 'European Universities', consisting in bottom-up networks of universities across the EU (…)".</w:t>
      </w:r>
    </w:p>
  </w:footnote>
  <w:footnote w:id="11">
    <w:p w14:paraId="6D9A36B1" w14:textId="77777777" w:rsidR="006B4648" w:rsidRPr="00640710" w:rsidRDefault="006B4648" w:rsidP="006B4648">
      <w:pPr>
        <w:rPr>
          <w:rFonts w:asciiTheme="minorHAnsi" w:hAnsiTheme="minorHAnsi"/>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 xml:space="preserve"> </w:t>
      </w:r>
      <w:hyperlink r:id="rId8" w:history="1">
        <w:r w:rsidRPr="00640710">
          <w:rPr>
            <w:rStyle w:val="Kpr"/>
            <w:rFonts w:asciiTheme="minorHAnsi" w:hAnsiTheme="minorHAnsi"/>
            <w:sz w:val="14"/>
            <w:szCs w:val="14"/>
          </w:rPr>
          <w:t>https://ec.europa.eu/education/european-universities-initiative_en</w:t>
        </w:r>
      </w:hyperlink>
    </w:p>
    <w:p w14:paraId="503124CD" w14:textId="77777777" w:rsidR="006B4648" w:rsidRPr="00640710" w:rsidRDefault="006B4648" w:rsidP="006B4648">
      <w:pPr>
        <w:pStyle w:val="DipnotMetni"/>
      </w:pPr>
    </w:p>
  </w:footnote>
  <w:footnote w:id="12">
    <w:p w14:paraId="085DBA19" w14:textId="77777777" w:rsidR="006B4648" w:rsidRPr="00640710" w:rsidRDefault="006B4648" w:rsidP="006B4648">
      <w:pPr>
        <w:rPr>
          <w:sz w:val="14"/>
          <w:szCs w:val="14"/>
        </w:rPr>
      </w:pPr>
      <w:r w:rsidRPr="00640710">
        <w:rPr>
          <w:rStyle w:val="DipnotBavurusu"/>
          <w:rFonts w:asciiTheme="minorHAnsi" w:hAnsiTheme="minorHAnsi"/>
          <w:sz w:val="14"/>
          <w:szCs w:val="14"/>
        </w:rPr>
        <w:footnoteRef/>
      </w:r>
      <w:r w:rsidRPr="00640710">
        <w:rPr>
          <w:rFonts w:asciiTheme="minorHAnsi" w:hAnsiTheme="minorHAnsi"/>
          <w:sz w:val="14"/>
          <w:szCs w:val="14"/>
        </w:rPr>
        <w:t>Mobilities beyond 3 months can be supported through "mobility projects for higher education students"</w:t>
      </w:r>
    </w:p>
    <w:p w14:paraId="0EB8FA98" w14:textId="77777777" w:rsidR="006B4648" w:rsidRPr="00640710" w:rsidRDefault="006B4648" w:rsidP="006B4648">
      <w:pPr>
        <w:pStyle w:val="DipnotMetni"/>
        <w:rPr>
          <w:sz w:val="16"/>
          <w:szCs w:val="16"/>
        </w:rPr>
      </w:pPr>
    </w:p>
  </w:footnote>
  <w:footnote w:id="13">
    <w:p w14:paraId="697264D2" w14:textId="77777777" w:rsidR="006B4648" w:rsidRPr="00640710" w:rsidRDefault="006B4648" w:rsidP="006B4648">
      <w:pPr>
        <w:pStyle w:val="DipnotMetni"/>
        <w:rPr>
          <w:sz w:val="14"/>
          <w:szCs w:val="14"/>
        </w:rPr>
      </w:pPr>
      <w:r w:rsidRPr="00640710">
        <w:rPr>
          <w:rStyle w:val="DipnotBavurusu"/>
          <w:sz w:val="14"/>
          <w:szCs w:val="14"/>
        </w:rPr>
        <w:footnoteRef/>
      </w:r>
      <w:r w:rsidRPr="00640710">
        <w:rPr>
          <w:sz w:val="14"/>
          <w:szCs w:val="14"/>
        </w:rPr>
        <w:t xml:space="preserve"> </w:t>
      </w:r>
      <w:r w:rsidRPr="00640710">
        <w:rPr>
          <w:rFonts w:asciiTheme="minorHAnsi" w:eastAsia="SimSun" w:hAnsiTheme="minorHAnsi" w:cs="Tahoma"/>
          <w:smallCaps w:val="0"/>
          <w:kern w:val="3"/>
          <w:sz w:val="14"/>
          <w:szCs w:val="14"/>
        </w:rPr>
        <w:t>A flat-rate amount not exceeding 7% of the eligible direct costs of the project is eligible under indirect costs, representing the beneficiary's general administrative costs which are not already covered by the eligible direct costs (e.g. electricity or Internet bills, cost for premises, etc.) but which can be regarded as chargeable to the project.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6002D"/>
    <w:multiLevelType w:val="hybridMultilevel"/>
    <w:tmpl w:val="EC7CD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3D4467"/>
    <w:multiLevelType w:val="hybridMultilevel"/>
    <w:tmpl w:val="92822F3A"/>
    <w:lvl w:ilvl="0" w:tplc="040C0001">
      <w:start w:val="1"/>
      <w:numFmt w:val="bullet"/>
      <w:lvlText w:val=""/>
      <w:lvlJc w:val="left"/>
      <w:pPr>
        <w:ind w:left="786" w:hanging="360"/>
      </w:pPr>
      <w:rPr>
        <w:rFonts w:ascii="Symbol" w:hAnsi="Symbol" w:hint="default"/>
      </w:rPr>
    </w:lvl>
    <w:lvl w:ilvl="1" w:tplc="040C0003">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2" w15:restartNumberingAfterBreak="0">
    <w:nsid w:val="10B6471A"/>
    <w:multiLevelType w:val="hybridMultilevel"/>
    <w:tmpl w:val="D7124D1A"/>
    <w:lvl w:ilvl="0" w:tplc="08090001">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63113"/>
    <w:multiLevelType w:val="hybridMultilevel"/>
    <w:tmpl w:val="AC20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802A6B"/>
    <w:multiLevelType w:val="hybridMultilevel"/>
    <w:tmpl w:val="077A3EA4"/>
    <w:lvl w:ilvl="0" w:tplc="08090001">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9E0085"/>
    <w:multiLevelType w:val="hybridMultilevel"/>
    <w:tmpl w:val="50B22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207DF0"/>
    <w:multiLevelType w:val="hybridMultilevel"/>
    <w:tmpl w:val="7CB6EBBC"/>
    <w:lvl w:ilvl="0" w:tplc="45F2D38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262B8"/>
    <w:multiLevelType w:val="hybridMultilevel"/>
    <w:tmpl w:val="D4B0D9D0"/>
    <w:lvl w:ilvl="0" w:tplc="45F2D384">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8" w15:restartNumberingAfterBreak="0">
    <w:nsid w:val="31A71091"/>
    <w:multiLevelType w:val="hybridMultilevel"/>
    <w:tmpl w:val="75D03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8365A9"/>
    <w:multiLevelType w:val="hybridMultilevel"/>
    <w:tmpl w:val="898E7148"/>
    <w:lvl w:ilvl="0" w:tplc="67160D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DF7E77"/>
    <w:multiLevelType w:val="multilevel"/>
    <w:tmpl w:val="4322E3FA"/>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1" w15:restartNumberingAfterBreak="0">
    <w:nsid w:val="3E8A69DF"/>
    <w:multiLevelType w:val="hybridMultilevel"/>
    <w:tmpl w:val="A5D0B3FC"/>
    <w:lvl w:ilvl="0" w:tplc="E9DAEE4C">
      <w:start w:val="1"/>
      <w:numFmt w:val="bullet"/>
      <w:pStyle w:val="Guide-Bulletsspace"/>
      <w:lvlText w:val=""/>
      <w:lvlJc w:val="left"/>
      <w:pPr>
        <w:ind w:left="720" w:hanging="360"/>
      </w:pPr>
      <w:rPr>
        <w:rFonts w:ascii="Wingdings" w:hAnsi="Wingdings"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AC45C4"/>
    <w:multiLevelType w:val="hybridMultilevel"/>
    <w:tmpl w:val="88D0FD9E"/>
    <w:lvl w:ilvl="0" w:tplc="08090001">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F17FF"/>
    <w:multiLevelType w:val="hybridMultilevel"/>
    <w:tmpl w:val="8A9868B0"/>
    <w:lvl w:ilvl="0" w:tplc="08090001">
      <w:start w:val="1"/>
      <w:numFmt w:val="bullet"/>
      <w:lvlText w:val=""/>
      <w:lvlJc w:val="left"/>
      <w:pPr>
        <w:ind w:left="720" w:hanging="360"/>
      </w:pPr>
      <w:rPr>
        <w:rFonts w:ascii="Symbol" w:hAnsi="Symbol" w:hint="default"/>
        <w:sz w:val="18"/>
        <w:szCs w:val="18"/>
      </w:rPr>
    </w:lvl>
    <w:lvl w:ilvl="1" w:tplc="6B4E2B7E">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9D72C9"/>
    <w:multiLevelType w:val="hybridMultilevel"/>
    <w:tmpl w:val="B1F0B9F6"/>
    <w:lvl w:ilvl="0" w:tplc="08090001">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D003193"/>
    <w:multiLevelType w:val="hybridMultilevel"/>
    <w:tmpl w:val="46FEFD26"/>
    <w:lvl w:ilvl="0" w:tplc="08090001">
      <w:start w:val="1"/>
      <w:numFmt w:val="bullet"/>
      <w:lvlText w:val=""/>
      <w:lvlJc w:val="left"/>
      <w:pPr>
        <w:ind w:left="720" w:hanging="360"/>
      </w:pPr>
      <w:rPr>
        <w:rFonts w:ascii="Symbol" w:hAnsi="Symbol" w:hint="default"/>
        <w:sz w:val="18"/>
        <w:szCs w:val="1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0031A"/>
    <w:multiLevelType w:val="hybridMultilevel"/>
    <w:tmpl w:val="990045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484F37"/>
    <w:multiLevelType w:val="hybridMultilevel"/>
    <w:tmpl w:val="5032F090"/>
    <w:lvl w:ilvl="0" w:tplc="08090001">
      <w:start w:val="1"/>
      <w:numFmt w:val="bullet"/>
      <w:lvlText w:val=""/>
      <w:lvlJc w:val="left"/>
      <w:pPr>
        <w:ind w:left="720" w:hanging="360"/>
      </w:pPr>
      <w:rPr>
        <w:rFonts w:ascii="Symbol" w:hAnsi="Symbol" w:hint="default"/>
        <w:sz w:val="18"/>
        <w:szCs w:val="18"/>
      </w:rPr>
    </w:lvl>
    <w:lvl w:ilvl="1" w:tplc="6B4E2B7E">
      <w:numFmt w:val="bullet"/>
      <w:lvlText w:val="-"/>
      <w:lvlJc w:val="left"/>
      <w:pPr>
        <w:ind w:left="1440" w:hanging="360"/>
      </w:pPr>
      <w:rPr>
        <w:rFonts w:ascii="Times New Roman" w:eastAsia="Times New Roman" w:hAnsi="Times New Roman" w:cs="Times New Roman"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2753719"/>
    <w:multiLevelType w:val="hybridMultilevel"/>
    <w:tmpl w:val="13449DA8"/>
    <w:lvl w:ilvl="0" w:tplc="67160D1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A2D5447"/>
    <w:multiLevelType w:val="hybridMultilevel"/>
    <w:tmpl w:val="CDB8B1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E920687"/>
    <w:multiLevelType w:val="hybridMultilevel"/>
    <w:tmpl w:val="23528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8"/>
  </w:num>
  <w:num w:numId="4">
    <w:abstractNumId w:val="2"/>
  </w:num>
  <w:num w:numId="5">
    <w:abstractNumId w:val="12"/>
  </w:num>
  <w:num w:numId="6">
    <w:abstractNumId w:val="15"/>
  </w:num>
  <w:num w:numId="7">
    <w:abstractNumId w:val="4"/>
  </w:num>
  <w:num w:numId="8">
    <w:abstractNumId w:val="14"/>
  </w:num>
  <w:num w:numId="9">
    <w:abstractNumId w:val="17"/>
  </w:num>
  <w:num w:numId="10">
    <w:abstractNumId w:val="13"/>
  </w:num>
  <w:num w:numId="11">
    <w:abstractNumId w:val="19"/>
  </w:num>
  <w:num w:numId="12">
    <w:abstractNumId w:val="20"/>
  </w:num>
  <w:num w:numId="13">
    <w:abstractNumId w:val="16"/>
  </w:num>
  <w:num w:numId="14">
    <w:abstractNumId w:val="3"/>
  </w:num>
  <w:num w:numId="15">
    <w:abstractNumId w:val="6"/>
  </w:num>
  <w:num w:numId="16">
    <w:abstractNumId w:val="0"/>
  </w:num>
  <w:num w:numId="17">
    <w:abstractNumId w:val="7"/>
  </w:num>
  <w:num w:numId="18">
    <w:abstractNumId w:val="1"/>
  </w:num>
  <w:num w:numId="19">
    <w:abstractNumId w:val="5"/>
  </w:num>
  <w:num w:numId="20">
    <w:abstractNumId w:val="18"/>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429"/>
    <w:rsid w:val="00046E93"/>
    <w:rsid w:val="00192FF9"/>
    <w:rsid w:val="001A67E9"/>
    <w:rsid w:val="001B6C75"/>
    <w:rsid w:val="001E3166"/>
    <w:rsid w:val="002224BF"/>
    <w:rsid w:val="002442D0"/>
    <w:rsid w:val="002E6B0F"/>
    <w:rsid w:val="00350429"/>
    <w:rsid w:val="00363932"/>
    <w:rsid w:val="00395582"/>
    <w:rsid w:val="00547901"/>
    <w:rsid w:val="00640710"/>
    <w:rsid w:val="006676D2"/>
    <w:rsid w:val="006B4648"/>
    <w:rsid w:val="00703944"/>
    <w:rsid w:val="00713AC4"/>
    <w:rsid w:val="00731A47"/>
    <w:rsid w:val="00752799"/>
    <w:rsid w:val="00854E80"/>
    <w:rsid w:val="00905B07"/>
    <w:rsid w:val="0092012D"/>
    <w:rsid w:val="00926129"/>
    <w:rsid w:val="00B67D21"/>
    <w:rsid w:val="00C019C9"/>
    <w:rsid w:val="00C73897"/>
    <w:rsid w:val="00D21F10"/>
    <w:rsid w:val="00D2510E"/>
    <w:rsid w:val="00D6246A"/>
    <w:rsid w:val="00E258B1"/>
    <w:rsid w:val="00EC271F"/>
    <w:rsid w:val="00ED3EB6"/>
    <w:rsid w:val="00F5570C"/>
    <w:rsid w:val="00FC3841"/>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DC0C9"/>
  <w15:docId w15:val="{2B4043D2-B061-4E34-B7F2-C07E69E8F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tr-TR"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429"/>
    <w:pPr>
      <w:widowControl w:val="0"/>
      <w:suppressAutoHyphens/>
      <w:autoSpaceDN w:val="0"/>
      <w:spacing w:after="0" w:line="240" w:lineRule="auto"/>
      <w:textAlignment w:val="baseline"/>
    </w:pPr>
    <w:rPr>
      <w:rFonts w:ascii="Times New Roman" w:eastAsia="SimSun" w:hAnsi="Times New Roman" w:cs="Tahoma"/>
      <w:kern w:val="3"/>
      <w:sz w:val="24"/>
      <w:szCs w:val="24"/>
      <w:lang w:val="en-GB"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uide-Normal">
    <w:name w:val="Guide - Normal"/>
    <w:basedOn w:val="Normal"/>
    <w:link w:val="Guide-NormalChar"/>
    <w:rsid w:val="00350429"/>
    <w:pPr>
      <w:widowControl/>
      <w:jc w:val="both"/>
    </w:pPr>
    <w:rPr>
      <w:rFonts w:ascii="Tahoma" w:eastAsia="Times New Roman" w:hAnsi="Tahoma"/>
      <w:sz w:val="18"/>
      <w:szCs w:val="18"/>
    </w:rPr>
  </w:style>
  <w:style w:type="paragraph" w:customStyle="1" w:styleId="Guide-Heading4">
    <w:name w:val="Guide - Heading 4"/>
    <w:basedOn w:val="Normal"/>
    <w:rsid w:val="00350429"/>
    <w:pPr>
      <w:keepNext/>
      <w:widowControl/>
      <w:spacing w:before="200" w:after="200"/>
      <w:outlineLvl w:val="0"/>
    </w:pPr>
    <w:rPr>
      <w:rFonts w:ascii="Tahoma" w:eastAsia="Times New Roman" w:hAnsi="Tahoma"/>
      <w:b/>
      <w:smallCaps/>
      <w:szCs w:val="20"/>
    </w:rPr>
  </w:style>
  <w:style w:type="paragraph" w:customStyle="1" w:styleId="Guide-Bulletsspace">
    <w:name w:val="Guide - Bullets space"/>
    <w:basedOn w:val="Normal"/>
    <w:rsid w:val="00046E93"/>
    <w:pPr>
      <w:numPr>
        <w:numId w:val="2"/>
      </w:numPr>
      <w:jc w:val="both"/>
    </w:pPr>
    <w:rPr>
      <w:rFonts w:ascii="Tahoma" w:hAnsi="Tahoma"/>
      <w:sz w:val="18"/>
      <w:szCs w:val="18"/>
    </w:rPr>
  </w:style>
  <w:style w:type="character" w:styleId="AklamaBavurusu">
    <w:name w:val="annotation reference"/>
    <w:basedOn w:val="VarsaylanParagrafYazTipi"/>
    <w:uiPriority w:val="99"/>
    <w:semiHidden/>
    <w:unhideWhenUsed/>
    <w:rsid w:val="00731A47"/>
    <w:rPr>
      <w:sz w:val="16"/>
      <w:szCs w:val="16"/>
    </w:rPr>
  </w:style>
  <w:style w:type="paragraph" w:styleId="AklamaMetni">
    <w:name w:val="annotation text"/>
    <w:basedOn w:val="Normal"/>
    <w:link w:val="AklamaMetniChar"/>
    <w:uiPriority w:val="99"/>
    <w:semiHidden/>
    <w:unhideWhenUsed/>
    <w:rsid w:val="00731A47"/>
    <w:rPr>
      <w:sz w:val="20"/>
      <w:szCs w:val="20"/>
    </w:rPr>
  </w:style>
  <w:style w:type="character" w:customStyle="1" w:styleId="AklamaMetniChar">
    <w:name w:val="Açıklama Metni Char"/>
    <w:basedOn w:val="VarsaylanParagrafYazTipi"/>
    <w:link w:val="AklamaMetni"/>
    <w:uiPriority w:val="99"/>
    <w:semiHidden/>
    <w:rsid w:val="00731A47"/>
    <w:rPr>
      <w:rFonts w:ascii="Times New Roman" w:eastAsia="SimSun" w:hAnsi="Times New Roman" w:cs="Tahoma"/>
      <w:kern w:val="3"/>
      <w:sz w:val="20"/>
      <w:szCs w:val="20"/>
      <w:lang w:val="fr-BE" w:eastAsia="zh-CN"/>
    </w:rPr>
  </w:style>
  <w:style w:type="paragraph" w:styleId="AklamaKonusu">
    <w:name w:val="annotation subject"/>
    <w:basedOn w:val="AklamaMetni"/>
    <w:next w:val="AklamaMetni"/>
    <w:link w:val="AklamaKonusuChar"/>
    <w:uiPriority w:val="99"/>
    <w:semiHidden/>
    <w:unhideWhenUsed/>
    <w:rsid w:val="00731A47"/>
    <w:rPr>
      <w:b/>
      <w:bCs/>
    </w:rPr>
  </w:style>
  <w:style w:type="character" w:customStyle="1" w:styleId="AklamaKonusuChar">
    <w:name w:val="Açıklama Konusu Char"/>
    <w:basedOn w:val="AklamaMetniChar"/>
    <w:link w:val="AklamaKonusu"/>
    <w:uiPriority w:val="99"/>
    <w:semiHidden/>
    <w:rsid w:val="00731A47"/>
    <w:rPr>
      <w:rFonts w:ascii="Times New Roman" w:eastAsia="SimSun" w:hAnsi="Times New Roman" w:cs="Tahoma"/>
      <w:b/>
      <w:bCs/>
      <w:kern w:val="3"/>
      <w:sz w:val="20"/>
      <w:szCs w:val="20"/>
      <w:lang w:val="fr-BE" w:eastAsia="zh-CN"/>
    </w:rPr>
  </w:style>
  <w:style w:type="paragraph" w:styleId="BalonMetni">
    <w:name w:val="Balloon Text"/>
    <w:basedOn w:val="Normal"/>
    <w:link w:val="BalonMetniChar"/>
    <w:uiPriority w:val="99"/>
    <w:semiHidden/>
    <w:unhideWhenUsed/>
    <w:rsid w:val="00731A4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31A47"/>
    <w:rPr>
      <w:rFonts w:ascii="Segoe UI" w:eastAsia="SimSun" w:hAnsi="Segoe UI" w:cs="Segoe UI"/>
      <w:kern w:val="3"/>
      <w:sz w:val="18"/>
      <w:szCs w:val="18"/>
      <w:lang w:val="fr-BE" w:eastAsia="zh-CN"/>
    </w:rPr>
  </w:style>
  <w:style w:type="paragraph" w:customStyle="1" w:styleId="texte">
    <w:name w:val="texte"/>
    <w:basedOn w:val="Normal"/>
    <w:rsid w:val="006B4648"/>
    <w:pPr>
      <w:widowControl/>
      <w:spacing w:before="100" w:after="100"/>
    </w:pPr>
    <w:rPr>
      <w:rFonts w:ascii="Verdana" w:eastAsia="Times New Roman" w:hAnsi="Verdana" w:cs="Times New Roman"/>
      <w:color w:val="353B8F"/>
      <w:sz w:val="20"/>
      <w:szCs w:val="20"/>
    </w:rPr>
  </w:style>
  <w:style w:type="paragraph" w:customStyle="1" w:styleId="Guide-Heading5">
    <w:name w:val="Guide - Heading 5"/>
    <w:basedOn w:val="Guide-Heading4"/>
    <w:rsid w:val="006B4648"/>
    <w:pPr>
      <w:outlineLvl w:val="4"/>
    </w:pPr>
    <w:rPr>
      <w:rFonts w:ascii="Calibri" w:hAnsi="Calibri"/>
      <w:sz w:val="22"/>
    </w:rPr>
  </w:style>
  <w:style w:type="character" w:styleId="Kpr">
    <w:name w:val="Hyperlink"/>
    <w:uiPriority w:val="99"/>
    <w:rsid w:val="006B4648"/>
    <w:rPr>
      <w:color w:val="0000FF"/>
      <w:u w:val="single"/>
    </w:rPr>
  </w:style>
  <w:style w:type="paragraph" w:styleId="DipnotMetni">
    <w:name w:val="footnote text"/>
    <w:aliases w:val="Schriftart: 9 pt,Schriftart: 10 pt,Schriftart: 8 pt,WB-Fußnotentext,WB-Fußnotentext Char Char,WB-Fußnotentext Char,stile 1,Footnote1,Footnote2,Footnote3,Footnote4,Footnote5,Footnote6,Footnote7,Footnote8,Footnote9,Footnote10,Footnote11,fn,s"/>
    <w:basedOn w:val="Normal"/>
    <w:link w:val="DipnotMetniChar"/>
    <w:qFormat/>
    <w:rsid w:val="006B4648"/>
    <w:pPr>
      <w:widowControl/>
      <w:suppressAutoHyphens w:val="0"/>
      <w:autoSpaceDN/>
      <w:textAlignment w:val="auto"/>
    </w:pPr>
    <w:rPr>
      <w:rFonts w:ascii="Cambria" w:eastAsia="Times New Roman" w:hAnsi="Cambria" w:cs="Times New Roman"/>
      <w:smallCaps/>
      <w:kern w:val="0"/>
      <w:sz w:val="20"/>
      <w:szCs w:val="20"/>
    </w:rPr>
  </w:style>
  <w:style w:type="character" w:customStyle="1" w:styleId="DipnotMetniChar">
    <w:name w:val="Dipnot Metni Char"/>
    <w:aliases w:val="Schriftart: 9 pt Char,Schriftart: 10 pt Char,Schriftart: 8 pt Char,WB-Fußnotentext Char1,WB-Fußnotentext Char Char Char,WB-Fußnotentext Char Char1,stile 1 Char,Footnote1 Char,Footnote2 Char,Footnote3 Char,Footnote4 Char,Footnote5 Char"/>
    <w:basedOn w:val="VarsaylanParagrafYazTipi"/>
    <w:link w:val="DipnotMetni"/>
    <w:rsid w:val="006B4648"/>
    <w:rPr>
      <w:rFonts w:ascii="Cambria" w:eastAsia="Times New Roman" w:hAnsi="Cambria" w:cs="Times New Roman"/>
      <w:smallCaps/>
      <w:sz w:val="20"/>
      <w:szCs w:val="20"/>
      <w:lang w:val="fr-BE" w:eastAsia="zh-CN"/>
    </w:rPr>
  </w:style>
  <w:style w:type="paragraph" w:styleId="ListeParagraf">
    <w:name w:val="List Paragraph"/>
    <w:basedOn w:val="Normal"/>
    <w:uiPriority w:val="34"/>
    <w:qFormat/>
    <w:rsid w:val="006B4648"/>
    <w:pPr>
      <w:ind w:left="720"/>
      <w:contextualSpacing/>
      <w:textAlignment w:val="auto"/>
    </w:pPr>
  </w:style>
  <w:style w:type="paragraph" w:customStyle="1" w:styleId="Guide-Heading6">
    <w:name w:val="Guide - Heading 6"/>
    <w:basedOn w:val="Guide-Heading5"/>
    <w:qFormat/>
    <w:rsid w:val="006B4648"/>
    <w:pPr>
      <w:jc w:val="both"/>
      <w:outlineLvl w:val="5"/>
    </w:pPr>
    <w:rPr>
      <w:sz w:val="20"/>
      <w:szCs w:val="28"/>
    </w:rPr>
  </w:style>
  <w:style w:type="character" w:styleId="DipnotBavurusu">
    <w:name w:val="footnote reference"/>
    <w:aliases w:val="Footnote symbol,Footnote reference number,Times 10 Point,Exposant 3 Point,Ref,de nota al pie,note TESI,SUPERS,EN Footnote Reference,EN Footnote text,Footnote Reference Number,Footnote Reference_LVL6,Footnote Reference_LVL61,R,BVI fnr"/>
    <w:link w:val="Odwo0142anieprzypisu"/>
    <w:uiPriority w:val="99"/>
    <w:qFormat/>
    <w:rsid w:val="006B4648"/>
    <w:rPr>
      <w:vertAlign w:val="superscript"/>
    </w:rPr>
  </w:style>
  <w:style w:type="paragraph" w:customStyle="1" w:styleId="Odwo0142anieprzypisu">
    <w:name w:val="Odwo&lt;0142&gt;anie przypisu"/>
    <w:aliases w:val="SUPER,BVI fnr Char1 Char,fr"/>
    <w:basedOn w:val="Normal"/>
    <w:link w:val="DipnotBavurusu"/>
    <w:uiPriority w:val="99"/>
    <w:rsid w:val="006B4648"/>
    <w:pPr>
      <w:widowControl/>
      <w:suppressAutoHyphens w:val="0"/>
      <w:autoSpaceDN/>
      <w:spacing w:before="120" w:after="160" w:line="240" w:lineRule="exact"/>
      <w:jc w:val="both"/>
      <w:textAlignment w:val="auto"/>
    </w:pPr>
    <w:rPr>
      <w:rFonts w:asciiTheme="minorHAnsi" w:eastAsia="MS Mincho" w:hAnsiTheme="minorHAnsi" w:cstheme="minorBidi"/>
      <w:kern w:val="0"/>
      <w:sz w:val="22"/>
      <w:szCs w:val="22"/>
      <w:vertAlign w:val="superscript"/>
      <w:lang w:val="tr-TR" w:eastAsia="ja-JP"/>
    </w:rPr>
  </w:style>
  <w:style w:type="character" w:customStyle="1" w:styleId="Guide-NormalChar">
    <w:name w:val="Guide - Normal Char"/>
    <w:link w:val="Guide-Normal"/>
    <w:rsid w:val="006B4648"/>
    <w:rPr>
      <w:rFonts w:ascii="Tahoma" w:eastAsia="Times New Roman" w:hAnsi="Tahoma" w:cs="Tahoma"/>
      <w:kern w:val="3"/>
      <w:sz w:val="18"/>
      <w:szCs w:val="18"/>
      <w:lang w:val="en-GB" w:eastAsia="zh-CN"/>
    </w:rPr>
  </w:style>
  <w:style w:type="paragraph" w:customStyle="1" w:styleId="Guide-Heading4TOC">
    <w:name w:val="Guide - Heading 4 TOC"/>
    <w:basedOn w:val="Normal"/>
    <w:link w:val="Guide-Heading4TOCChar"/>
    <w:qFormat/>
    <w:rsid w:val="006B4648"/>
    <w:pPr>
      <w:keepNext/>
      <w:widowControl/>
      <w:spacing w:after="200"/>
      <w:outlineLvl w:val="3"/>
    </w:pPr>
    <w:rPr>
      <w:rFonts w:ascii="Calibri" w:eastAsia="Times New Roman" w:hAnsi="Calibri"/>
      <w:b/>
      <w:smallCaps/>
      <w:sz w:val="28"/>
      <w:szCs w:val="20"/>
    </w:rPr>
  </w:style>
  <w:style w:type="character" w:customStyle="1" w:styleId="Guide-Heading4TOCChar">
    <w:name w:val="Guide - Heading 4 TOC Char"/>
    <w:link w:val="Guide-Heading4TOC"/>
    <w:rsid w:val="006B4648"/>
    <w:rPr>
      <w:rFonts w:ascii="Calibri" w:eastAsia="Times New Roman" w:hAnsi="Calibri" w:cs="Tahoma"/>
      <w:b/>
      <w:smallCaps/>
      <w:kern w:val="3"/>
      <w:sz w:val="28"/>
      <w:szCs w:val="20"/>
      <w:lang w:val="en-GB" w:eastAsia="zh-CN"/>
    </w:rPr>
  </w:style>
  <w:style w:type="table" w:customStyle="1" w:styleId="TableGrid1">
    <w:name w:val="Table Grid1"/>
    <w:basedOn w:val="NormalTablo"/>
    <w:next w:val="TabloKlavuzu"/>
    <w:uiPriority w:val="59"/>
    <w:rsid w:val="006B4648"/>
    <w:pPr>
      <w:spacing w:after="0" w:line="240" w:lineRule="auto"/>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59"/>
    <w:rsid w:val="006B46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640710"/>
    <w:pPr>
      <w:tabs>
        <w:tab w:val="center" w:pos="4513"/>
        <w:tab w:val="right" w:pos="9026"/>
      </w:tabs>
    </w:pPr>
  </w:style>
  <w:style w:type="character" w:customStyle="1" w:styleId="stbilgiChar">
    <w:name w:val="Üstbilgi Char"/>
    <w:basedOn w:val="VarsaylanParagrafYazTipi"/>
    <w:link w:val="stbilgi"/>
    <w:uiPriority w:val="99"/>
    <w:rsid w:val="00640710"/>
    <w:rPr>
      <w:rFonts w:ascii="Times New Roman" w:eastAsia="SimSun" w:hAnsi="Times New Roman" w:cs="Tahoma"/>
      <w:kern w:val="3"/>
      <w:sz w:val="24"/>
      <w:szCs w:val="24"/>
      <w:lang w:val="fr-BE" w:eastAsia="zh-CN"/>
    </w:rPr>
  </w:style>
  <w:style w:type="paragraph" w:styleId="Altbilgi">
    <w:name w:val="footer"/>
    <w:basedOn w:val="Normal"/>
    <w:link w:val="AltbilgiChar"/>
    <w:uiPriority w:val="99"/>
    <w:unhideWhenUsed/>
    <w:rsid w:val="00640710"/>
    <w:pPr>
      <w:tabs>
        <w:tab w:val="center" w:pos="4513"/>
        <w:tab w:val="right" w:pos="9026"/>
      </w:tabs>
    </w:pPr>
  </w:style>
  <w:style w:type="character" w:customStyle="1" w:styleId="AltbilgiChar">
    <w:name w:val="Altbilgi Char"/>
    <w:basedOn w:val="VarsaylanParagrafYazTipi"/>
    <w:link w:val="Altbilgi"/>
    <w:uiPriority w:val="99"/>
    <w:rsid w:val="00640710"/>
    <w:rPr>
      <w:rFonts w:ascii="Times New Roman" w:eastAsia="SimSun" w:hAnsi="Times New Roman" w:cs="Tahoma"/>
      <w:kern w:val="3"/>
      <w:sz w:val="24"/>
      <w:szCs w:val="24"/>
      <w:lang w:val="fr-BE" w:eastAsia="zh-CN"/>
    </w:rPr>
  </w:style>
  <w:style w:type="character" w:styleId="zlenenKpr">
    <w:name w:val="FollowedHyperlink"/>
    <w:basedOn w:val="VarsaylanParagrafYazTipi"/>
    <w:uiPriority w:val="99"/>
    <w:semiHidden/>
    <w:unhideWhenUsed/>
    <w:rsid w:val="006407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83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cea.ec.europa.eu/erasmus-plus/funding/key-action2-european-universities-2019_en" TargetMode="External"/><Relationship Id="rId3" Type="http://schemas.openxmlformats.org/officeDocument/2006/relationships/settings" Target="settings.xml"/><Relationship Id="rId7" Type="http://schemas.openxmlformats.org/officeDocument/2006/relationships/hyperlink" Target="https://ec.europa.eu/education/education-in-the-eu/european-education-area/european-universities-initiative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ducation/european-universities-initiative_en" TargetMode="External"/><Relationship Id="rId3" Type="http://schemas.openxmlformats.org/officeDocument/2006/relationships/hyperlink" Target="https://ec.europa.eu/education/sites/education/files/combuildingastrongereurope_en_act_part1_v7.pdf" TargetMode="External"/><Relationship Id="rId7" Type="http://schemas.openxmlformats.org/officeDocument/2006/relationships/hyperlink" Target="http://eurovoc.europa.eu/drupal/?q=request&amp;mturi=http://eurovoc.europa.eu/100277&amp;language=en&amp;view=mt&amp;ifacelang=en" TargetMode="External"/><Relationship Id="rId2" Type="http://schemas.openxmlformats.org/officeDocument/2006/relationships/hyperlink" Target="http://data.consilium.europa.eu/doc/document/ST-8701-2018-INIT/en/pdf" TargetMode="External"/><Relationship Id="rId1" Type="http://schemas.openxmlformats.org/officeDocument/2006/relationships/hyperlink" Target="http://www.consilium.europa.eu/media/32204/14-final-conclusions-rev1-en.pdf" TargetMode="External"/><Relationship Id="rId6" Type="http://schemas.openxmlformats.org/officeDocument/2006/relationships/hyperlink" Target="http://www.consilium.europa.eu/media/32204/14-final-conclusions-rev1-en.pdf" TargetMode="External"/><Relationship Id="rId5" Type="http://schemas.openxmlformats.org/officeDocument/2006/relationships/hyperlink" Target="https://ec.europa.eu/education/european-student-card-initiative_en" TargetMode="External"/><Relationship Id="rId4" Type="http://schemas.openxmlformats.org/officeDocument/2006/relationships/hyperlink" Target="HTTPS://EC.EUROPA.EU/EDUCATION/SITES/EDUCATION/FILES/RECOGNITION_EN_ACT_PART1_V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3898</Words>
  <Characters>22220</Characters>
  <Application>Microsoft Office Word</Application>
  <DocSecurity>0</DocSecurity>
  <Lines>185</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Hür Güldü</dc:creator>
  <cp:lastModifiedBy>Zeynep SELVİ</cp:lastModifiedBy>
  <cp:revision>2</cp:revision>
  <cp:lastPrinted>2018-11-02T14:39:00Z</cp:lastPrinted>
  <dcterms:created xsi:type="dcterms:W3CDTF">2018-12-17T13:30:00Z</dcterms:created>
  <dcterms:modified xsi:type="dcterms:W3CDTF">2018-12-17T13:30:00Z</dcterms:modified>
</cp:coreProperties>
</file>